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notes.xml" ContentType="application/vnd.openxmlformats-officedocument.wordprocessingml.footnot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443A7C03">
      <w:pPr>
        <w:pBdr/>
        <w:spacing w:after="0"/>
        <w:ind/>
        <w:jc w:val="center"/>
        <w:rPr>
          <w:rFonts w:ascii="Times New Roman" w:hAnsi="Times New Roman"/>
          <w:b/>
          <w:sz w:val="24"/>
          <w:szCs w:val="24"/>
        </w:rPr>
      </w:pPr>
      <w:r/>
      <w:bookmarkStart w:id="0" w:name="_Hlk175904629"/>
      <w:r>
        <w:rPr>
          <w:rFonts w:ascii="Times New Roman" w:hAnsi="Times New Roman"/>
          <w:b/>
          <w:sz w:val="24"/>
          <w:szCs w:val="24"/>
        </w:rPr>
        <w:t xml:space="preserve">TECHNINĖ SPECIFIKACIJA</w:t>
      </w:r>
      <w:r>
        <w:rPr>
          <w:rFonts w:ascii="Times New Roman" w:hAnsi="Times New Roman"/>
          <w:b/>
          <w:sz w:val="24"/>
          <w:szCs w:val="24"/>
        </w:rPr>
      </w:r>
      <w:r>
        <w:rPr>
          <w:rFonts w:ascii="Times New Roman" w:hAnsi="Times New Roman"/>
          <w:b/>
          <w:sz w:val="24"/>
          <w:szCs w:val="24"/>
        </w:rPr>
      </w:r>
    </w:p>
    <w:p w14:paraId="68F83C7B">
      <w:pPr>
        <w:pBdr/>
        <w:spacing w:after="0"/>
        <w:ind/>
        <w:jc w:val="center"/>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t xml:space="preserve">Ginekologinė kėdė</w:t>
      </w:r>
      <w:r>
        <w:rPr>
          <w:rFonts w:ascii="Times New Roman" w:hAnsi="Times New Roman"/>
          <w:b/>
          <w:bCs/>
          <w:sz w:val="24"/>
          <w:szCs w:val="24"/>
        </w:rPr>
      </w:r>
      <w:r>
        <w:rPr>
          <w:rFonts w:ascii="Times New Roman" w:hAnsi="Times New Roman"/>
          <w:b/>
          <w:bCs/>
          <w:sz w:val="24"/>
          <w:szCs w:val="24"/>
        </w:rPr>
        <w:t xml:space="preserve"> 1 vnt.</w:t>
      </w:r>
      <w:r>
        <w:rPr>
          <w:rFonts w:ascii="Times New Roman" w:hAnsi="Times New Roman"/>
          <w:b/>
          <w:bCs/>
          <w:sz w:val="24"/>
          <w:szCs w:val="24"/>
        </w:rPr>
      </w:r>
      <w:r>
        <w:rPr>
          <w:rFonts w:ascii="Times New Roman" w:hAnsi="Times New Roman"/>
          <w:b/>
          <w:bCs/>
          <w:sz w:val="24"/>
          <w:szCs w:val="24"/>
        </w:rPr>
      </w:r>
    </w:p>
    <w:p w14:paraId="40F527D8">
      <w:pPr>
        <w:pBdr/>
        <w:tabs>
          <w:tab w:val="left" w:leader="none" w:pos="-142"/>
          <w:tab w:val="left" w:leader="none" w:pos="1418"/>
        </w:tabs>
        <w:spacing w:after="0" w:line="240" w:lineRule="auto"/>
        <w:ind w:firstLine="993" w:left="-142"/>
        <w:jc w:val="both"/>
        <w:rPr>
          <w:rFonts w:ascii="Times New Roman" w:hAnsi="Times New Roman"/>
          <w:i/>
          <w:iCs/>
          <w:sz w:val="24"/>
          <w:szCs w:val="24"/>
        </w:rPr>
      </w:pPr>
      <w:r>
        <w:rPr>
          <w:rFonts w:ascii="Times New Roman" w:hAnsi="Times New Roman"/>
          <w:b/>
          <w:bCs/>
          <w:i/>
          <w:iCs/>
          <w:sz w:val="24"/>
          <w:szCs w:val="24"/>
        </w:rPr>
        <w:t xml:space="preserve">Tiekėjui</w:t>
      </w:r>
      <w:r>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Pr>
          <w:rFonts w:ascii="Times New Roman" w:hAnsi="Times New Roman"/>
          <w:b/>
          <w:bCs/>
          <w:i/>
          <w:iCs/>
          <w:sz w:val="24"/>
          <w:szCs w:val="24"/>
        </w:rPr>
        <w:t xml:space="preserve">pateikiami prekės gamintojo dokumentai</w:t>
      </w:r>
      <w:r>
        <w:rPr>
          <w:rFonts w:ascii="Times New Roman" w:hAnsi="Times New Roman"/>
          <w:b/>
          <w:bCs/>
          <w:i/>
          <w:iCs/>
          <w:sz w:val="24"/>
          <w:szCs w:val="24"/>
        </w:rPr>
        <w:t xml:space="preserve">*</w:t>
      </w:r>
      <w:r>
        <w:rPr>
          <w:rFonts w:ascii="Times New Roman" w:hAnsi="Times New Roman"/>
          <w:b/>
          <w:bCs/>
          <w:i/>
          <w:iCs/>
          <w:sz w:val="24"/>
          <w:szCs w:val="24"/>
        </w:rPr>
        <w:t xml:space="preserve"> </w:t>
      </w:r>
      <w:r>
        <w:rPr>
          <w:rFonts w:ascii="Times New Roman" w:hAnsi="Times New Roman"/>
          <w:i/>
          <w:iCs/>
          <w:sz w:val="24"/>
          <w:szCs w:val="24"/>
        </w:rPr>
        <w:t xml:space="preserve">(techninės specifikacijos, katalogų, bukletų kopijos, internetinės nuorodos į prekių gamintojo puslapius, atitinkamą (-</w:t>
      </w:r>
      <w:r>
        <w:rPr>
          <w:rFonts w:ascii="Times New Roman" w:hAnsi="Times New Roman"/>
          <w:i/>
          <w:iCs/>
          <w:sz w:val="24"/>
          <w:szCs w:val="24"/>
        </w:rPr>
        <w:t xml:space="preserve">us</w:t>
      </w:r>
      <w:r>
        <w:rPr>
          <w:rFonts w:ascii="Times New Roman" w:hAnsi="Times New Roman"/>
          <w:i/>
          <w:iCs/>
          <w:sz w:val="24"/>
          <w:szCs w:val="24"/>
        </w:rPr>
        <w:t xml:space="preserve">) techninės specifikacijos reikalavimą (-</w:t>
      </w:r>
      <w:r>
        <w:rPr>
          <w:rFonts w:ascii="Times New Roman" w:hAnsi="Times New Roman"/>
          <w:i/>
          <w:iCs/>
          <w:sz w:val="24"/>
          <w:szCs w:val="24"/>
        </w:rPr>
        <w:t xml:space="preserve">us</w:t>
      </w:r>
      <w:r>
        <w:rPr>
          <w:rFonts w:ascii="Times New Roman" w:hAnsi="Times New Roman"/>
          <w:i/>
          <w:iCs/>
          <w:sz w:val="24"/>
          <w:szCs w:val="24"/>
        </w:rPr>
        <w:t xml:space="preserve">) patvirtinanti (-</w:t>
      </w:r>
      <w:r>
        <w:rPr>
          <w:rFonts w:ascii="Times New Roman" w:hAnsi="Times New Roman"/>
          <w:i/>
          <w:iCs/>
          <w:sz w:val="24"/>
          <w:szCs w:val="24"/>
        </w:rPr>
        <w:t xml:space="preserve">čios</w:t>
      </w:r>
      <w:r>
        <w:rPr>
          <w:rFonts w:ascii="Times New Roman" w:hAnsi="Times New Roman"/>
          <w:i/>
          <w:iCs/>
          <w:sz w:val="24"/>
          <w:szCs w:val="24"/>
        </w:rPr>
        <w:t xml:space="preserve">) momentinė (-ės) ekrano kopija (-</w:t>
      </w:r>
      <w:r>
        <w:rPr>
          <w:rFonts w:ascii="Times New Roman" w:hAnsi="Times New Roman"/>
          <w:i/>
          <w:iCs/>
          <w:sz w:val="24"/>
          <w:szCs w:val="24"/>
        </w:rPr>
        <w:t xml:space="preserve">os</w:t>
      </w:r>
      <w:r>
        <w:rPr>
          <w:rFonts w:ascii="Times New Roman" w:hAnsi="Times New Roman"/>
          <w:i/>
          <w:iCs/>
          <w:sz w:val="24"/>
          <w:szCs w:val="24"/>
        </w:rPr>
        <w:t xml:space="preserv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(tokiu atveju momentinėje ekrano kopijoje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turi būti matoma informacija, kad kopija padaryta iš prekės gamintojo tinklalapio) ir pan.) lietuvių arba anglų kalba. Tuo atveju, jeigu pat</w:t>
      </w:r>
      <w:r>
        <w:rPr>
          <w:rFonts w:ascii="Times New Roman" w:hAnsi="Times New Roman"/>
          <w:i/>
          <w:iCs/>
          <w:sz w:val="24"/>
          <w:szCs w:val="24"/>
        </w:rPr>
        <w:t xml:space="preserve">eiktoje prekės gamintojo dokumentacijoje nėra reikalaujamas prekės charakteristikas patvirtinančios informacijos, tiekėjas privalo pateikti prekės gamintojo arba jo įgalioto atstovo (tiekėjo deklaracija nėra lygiavertis dokumentas) raštiškus patvirtinimus </w:t>
      </w:r>
      <w:r>
        <w:rPr>
          <w:rFonts w:ascii="Times New Roman" w:hAnsi="Times New Roman"/>
          <w:i/>
          <w:iCs/>
          <w:sz w:val="24"/>
          <w:szCs w:val="24"/>
        </w:rPr>
        <w:t xml:space="preserve">(pvz., prekės gamintojo atitikties deklaraciją ar eksploatacinių savybių deklaraciją) ar kitus atitiktį reikalavimams įrodančius dokumentus (informaciją), kad Perkančioji organizacija galėtų įsitikinti siūlomos prekės atitiktimi nustatytiems reikalavimams.</w:t>
      </w:r>
      <w:r>
        <w:rPr>
          <w:rFonts w:ascii="Times New Roman" w:hAnsi="Times New Roman"/>
          <w:i/>
          <w:iCs/>
          <w:sz w:val="24"/>
          <w:szCs w:val="24"/>
        </w:rPr>
      </w:r>
      <w:r>
        <w:rPr>
          <w:rFonts w:ascii="Times New Roman" w:hAnsi="Times New Roman"/>
          <w:i/>
          <w:iCs/>
          <w:sz w:val="24"/>
          <w:szCs w:val="24"/>
        </w:rPr>
      </w:r>
    </w:p>
    <w:p w14:paraId="432D60D6">
      <w:pPr>
        <w:pBdr/>
        <w:tabs>
          <w:tab w:val="left" w:leader="none" w:pos="-142"/>
          <w:tab w:val="left" w:leader="none" w:pos="1418"/>
        </w:tabs>
        <w:spacing w:after="0" w:line="240" w:lineRule="auto"/>
        <w:ind w:firstLine="993" w:left="-142"/>
        <w:jc w:val="both"/>
        <w:rPr>
          <w:rFonts w:ascii="Times New Roman" w:hAnsi="Times New Roman"/>
          <w:i/>
          <w:iCs/>
        </w:rPr>
      </w:pPr>
      <w:r>
        <w:rPr>
          <w:rFonts w:ascii="Times New Roman" w:hAnsi="Times New Roman"/>
          <w:i/>
          <w:iCs/>
        </w:rPr>
        <w:t xml:space="preserve">*Šių d</w:t>
      </w:r>
      <w:r>
        <w:rPr>
          <w:rFonts w:ascii="Times New Roman" w:hAnsi="Times New Roman"/>
          <w:i/>
          <w:iCs/>
        </w:rPr>
        <w:t xml:space="preserve">okumentų bus prašoma galimo pirkimo laimėtojo (ekonomiškai naudingiausią pasiūlymą pateikusio tiekėjo), siekdamas įrodyti atitikimą, šiuose dokumentuose tiekėjas privalo pažymėti kurį techninės specifikacijos reikalaujamos charakteristikos punktą atitinka.</w:t>
      </w:r>
      <w:r>
        <w:rPr>
          <w:rFonts w:ascii="Times New Roman" w:hAnsi="Times New Roman"/>
          <w:i/>
          <w:iCs/>
        </w:rPr>
      </w:r>
      <w:r>
        <w:rPr>
          <w:rFonts w:ascii="Times New Roman" w:hAnsi="Times New Roman"/>
          <w:i/>
          <w:iCs/>
        </w:rPr>
      </w:r>
    </w:p>
    <w:p w14:paraId="730B00E1">
      <w:pPr>
        <w:pBdr/>
        <w:tabs>
          <w:tab w:val="left" w:leader="none" w:pos="-142"/>
          <w:tab w:val="left" w:leader="none" w:pos="1418"/>
        </w:tabs>
        <w:spacing w:after="0" w:line="240" w:lineRule="auto"/>
        <w:ind w:firstLine="993" w:left="-142"/>
        <w:jc w:val="both"/>
        <w:rPr>
          <w:rFonts w:ascii="Times New Roman" w:hAnsi="Times New Roman"/>
        </w:rPr>
      </w:pPr>
      <w:r>
        <w:rPr>
          <w:rFonts w:ascii="Times New Roman" w:hAnsi="Times New Roman"/>
        </w:rPr>
        <w:t xml:space="preserve">Tiekėjo siūloma prekė turi atitikti ir tiekėjas </w:t>
      </w:r>
      <w:r>
        <w:rPr>
          <w:rFonts w:ascii="Times New Roman" w:hAnsi="Times New Roman"/>
          <w:b/>
        </w:rPr>
        <w:t xml:space="preserve">turi įrodyt</w:t>
      </w:r>
      <w:r>
        <w:rPr>
          <w:rFonts w:ascii="Times New Roman" w:hAnsi="Times New Roman"/>
        </w:rPr>
        <w:t xml:space="preserve">i, kad siūloma </w:t>
      </w:r>
      <w:r>
        <w:rPr>
          <w:rFonts w:ascii="Times New Roman" w:hAnsi="Times New Roman"/>
          <w:b/>
        </w:rPr>
        <w:t xml:space="preserve">prekė atitinka visus techninėje specifikacijoje nurodytus reikalavimus</w:t>
      </w:r>
      <w:r>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r>
        <w:rPr>
          <w:rFonts w:ascii="Times New Roman" w:hAnsi="Times New Roman"/>
        </w:rPr>
      </w:r>
      <w:r>
        <w:rPr>
          <w:rFonts w:ascii="Times New Roman" w:hAnsi="Times New Roman"/>
        </w:rPr>
      </w:r>
    </w:p>
    <w:p w14:paraId="1D5A3F5A">
      <w:pPr>
        <w:pBdr/>
        <w:spacing w:after="0" w:line="240" w:lineRule="auto"/>
        <w:ind/>
        <w:rPr>
          <w:rFonts w:ascii="Times New Roman" w:hAnsi="Times New Roman"/>
          <w:b/>
          <w:color w:val="000000"/>
          <w:sz w:val="24"/>
        </w:rPr>
      </w:pPr>
      <w:r>
        <w:rPr>
          <w:rFonts w:ascii="Times New Roman" w:hAnsi="Times New Roman"/>
          <w:b/>
          <w:color w:val="000000"/>
          <w:sz w:val="24"/>
        </w:rPr>
        <w:t xml:space="preserve">1. </w:t>
      </w:r>
      <w:r>
        <w:rPr>
          <w:rFonts w:ascii="Times New Roman" w:hAnsi="Times New Roman"/>
          <w:b/>
          <w:color w:val="000000"/>
          <w:sz w:val="24"/>
        </w:rPr>
        <w:t xml:space="preserve">Bendrosios sąlygos:</w:t>
      </w:r>
      <w:r>
        <w:rPr>
          <w:rFonts w:ascii="Times New Roman" w:hAnsi="Times New Roman"/>
          <w:b/>
          <w:color w:val="000000"/>
          <w:sz w:val="24"/>
        </w:rPr>
      </w:r>
      <w:r>
        <w:rPr>
          <w:rFonts w:ascii="Times New Roman" w:hAnsi="Times New Roman"/>
          <w:b/>
          <w:color w:val="000000"/>
          <w:sz w:val="24"/>
        </w:rPr>
      </w:r>
    </w:p>
    <w:p w14:paraId="68E06B0D">
      <w:pPr>
        <w:pBdr/>
        <w:tabs>
          <w:tab w:val="left" w:leader="none" w:pos="0"/>
          <w:tab w:val="left" w:leader="none" w:pos="720"/>
        </w:tabs>
        <w:spacing w:after="0" w:line="240" w:lineRule="auto"/>
        <w:ind/>
        <w:jc w:val="both"/>
        <w:rPr>
          <w:rFonts w:ascii="Times New Roman" w:hAnsi="Times New Roman"/>
          <w:color w:val="000000"/>
          <w:sz w:val="24"/>
        </w:rPr>
      </w:pPr>
      <w:r>
        <w:rPr>
          <w:rFonts w:ascii="Times New Roman" w:hAnsi="Times New Roman"/>
          <w:color w:val="000000"/>
          <w:sz w:val="24"/>
        </w:rPr>
        <w:t xml:space="preserve">1.1. </w:t>
      </w:r>
      <w:r>
        <w:rPr>
          <w:rFonts w:ascii="Times New Roman" w:hAnsi="Times New Roman"/>
          <w:color w:val="000000"/>
          <w:sz w:val="24"/>
        </w:rPr>
        <w:t xml:space="preserve">Prekės pristatymo terminas – ne vėliau kaip per </w:t>
      </w:r>
      <w:r>
        <w:rPr>
          <w:rFonts w:ascii="Times New Roman" w:hAnsi="Times New Roman"/>
          <w:color w:val="000000" w:themeColor="text1"/>
          <w:sz w:val="24"/>
        </w:rPr>
        <w:t xml:space="preserve">3 mėnesius</w:t>
      </w:r>
      <w:r>
        <w:rPr>
          <w:rFonts w:ascii="Times New Roman" w:hAnsi="Times New Roman"/>
          <w:color w:val="000000" w:themeColor="text1"/>
          <w:sz w:val="24"/>
        </w:rPr>
        <w:t xml:space="preserve"> </w:t>
      </w:r>
      <w:r>
        <w:rPr>
          <w:rFonts w:ascii="Times New Roman" w:hAnsi="Times New Roman"/>
          <w:color w:val="000000"/>
          <w:sz w:val="24"/>
        </w:rPr>
        <w:t xml:space="preserve">nuo Prekės pirkimo ir </w:t>
      </w:r>
      <w:r>
        <w:rPr>
          <w:rFonts w:ascii="Times New Roman" w:hAnsi="Times New Roman"/>
          <w:color w:val="000000"/>
          <w:sz w:val="24"/>
        </w:rPr>
      </w:r>
      <w:r>
        <w:rPr>
          <w:rFonts w:ascii="Times New Roman" w:hAnsi="Times New Roman"/>
          <w:color w:val="000000"/>
          <w:sz w:val="24"/>
        </w:rPr>
      </w:r>
    </w:p>
    <w:p w14:paraId="7610EB07">
      <w:pPr>
        <w:pBdr/>
        <w:tabs>
          <w:tab w:val="left" w:leader="none" w:pos="0"/>
          <w:tab w:val="left" w:leader="none" w:pos="720"/>
          <w:tab w:val="left" w:leader="none" w:pos="1440"/>
        </w:tabs>
        <w:spacing w:after="0" w:line="240" w:lineRule="auto"/>
        <w:ind/>
        <w:jc w:val="both"/>
        <w:rPr>
          <w:rFonts w:ascii="Times New Roman" w:hAnsi="Times New Roman"/>
          <w:color w:val="000000"/>
          <w:sz w:val="24"/>
        </w:rPr>
      </w:pPr>
      <w:r>
        <w:rPr>
          <w:rFonts w:ascii="Times New Roman" w:hAnsi="Times New Roman"/>
          <w:color w:val="000000"/>
          <w:sz w:val="24"/>
        </w:rPr>
        <w:t xml:space="preserve">pardavimo sutarties pasirašymo;</w:t>
      </w:r>
      <w:r>
        <w:rPr>
          <w:rFonts w:ascii="Times New Roman" w:hAnsi="Times New Roman"/>
          <w:color w:val="000000"/>
          <w:sz w:val="24"/>
        </w:rPr>
      </w:r>
      <w:r>
        <w:rPr>
          <w:rFonts w:ascii="Times New Roman" w:hAnsi="Times New Roman"/>
          <w:color w:val="000000"/>
          <w:sz w:val="24"/>
        </w:rPr>
      </w:r>
    </w:p>
    <w:p w14:paraId="74F0AFD4">
      <w:pPr>
        <w:pBdr/>
        <w:spacing w:after="0" w:line="240" w:lineRule="auto"/>
        <w:ind/>
        <w:jc w:val="both"/>
        <w:rPr>
          <w:rFonts w:ascii="Times New Roman" w:hAnsi="Times New Roman"/>
          <w:color w:val="000000"/>
          <w:sz w:val="24"/>
        </w:rPr>
      </w:pPr>
      <w:r>
        <w:rPr>
          <w:rFonts w:ascii="Times New Roman" w:hAnsi="Times New Roman"/>
          <w:color w:val="000000"/>
          <w:sz w:val="24"/>
        </w:rPr>
        <w:t xml:space="preserve">1.2. </w:t>
      </w:r>
      <w:r>
        <w:rPr>
          <w:rFonts w:ascii="Times New Roman" w:hAnsi="Times New Roman"/>
          <w:color w:val="000000"/>
          <w:sz w:val="24"/>
        </w:rPr>
        <w:t xml:space="preserve">Prekės pristatymo vieta – </w:t>
      </w:r>
      <w:r>
        <w:rPr>
          <w:rFonts w:ascii="Times New Roman" w:hAnsi="Times New Roman"/>
          <w:color w:val="000000"/>
          <w:sz w:val="24"/>
        </w:rPr>
        <w:t xml:space="preserve">Basanavičiaus g. </w:t>
      </w:r>
      <w:r>
        <w:rPr>
          <w:rFonts w:ascii="Times New Roman" w:hAnsi="Times New Roman"/>
          <w:color w:val="000000"/>
          <w:sz w:val="24"/>
        </w:rPr>
        <w:t xml:space="preserve">18</w:t>
      </w:r>
      <w:r>
        <w:rPr>
          <w:rFonts w:ascii="Times New Roman" w:hAnsi="Times New Roman"/>
          <w:color w:val="000000"/>
          <w:sz w:val="24"/>
        </w:rPr>
        <w:t xml:space="preserve">, LT -</w:t>
      </w:r>
      <w:r>
        <w:rPr>
          <w:rFonts w:ascii="Times New Roman" w:hAnsi="Times New Roman"/>
          <w:color w:val="000000"/>
          <w:sz w:val="24"/>
        </w:rPr>
        <w:t xml:space="preserve">81183</w:t>
      </w:r>
      <w:r>
        <w:rPr>
          <w:rFonts w:ascii="Times New Roman" w:hAnsi="Times New Roman"/>
          <w:color w:val="000000"/>
          <w:sz w:val="24"/>
        </w:rPr>
        <w:t xml:space="preserve">,</w:t>
      </w:r>
      <w:r>
        <w:rPr>
          <w:rFonts w:ascii="Times New Roman" w:hAnsi="Times New Roman"/>
          <w:color w:val="000000"/>
          <w:sz w:val="24"/>
        </w:rPr>
        <w:t xml:space="preserve"> </w:t>
      </w:r>
      <w:r>
        <w:rPr>
          <w:rFonts w:ascii="Times New Roman" w:hAnsi="Times New Roman"/>
          <w:color w:val="000000"/>
          <w:sz w:val="24"/>
        </w:rPr>
        <w:t xml:space="preserve">Kuršėnai</w:t>
      </w:r>
      <w:r>
        <w:rPr>
          <w:rFonts w:ascii="Times New Roman" w:hAnsi="Times New Roman"/>
          <w:color w:val="000000"/>
          <w:sz w:val="24"/>
        </w:rPr>
        <w:t xml:space="preserve">, Šiaulių r. sav.</w:t>
      </w:r>
      <w:r>
        <w:rPr>
          <w:rFonts w:ascii="Times New Roman" w:hAnsi="Times New Roman"/>
          <w:color w:val="000000"/>
          <w:sz w:val="24"/>
        </w:rPr>
        <w:t xml:space="preserve">;</w:t>
      </w:r>
      <w:r>
        <w:rPr>
          <w:rFonts w:ascii="Times New Roman" w:hAnsi="Times New Roman"/>
          <w:color w:val="000000"/>
          <w:sz w:val="24"/>
        </w:rPr>
      </w:r>
      <w:r>
        <w:rPr>
          <w:rFonts w:ascii="Times New Roman" w:hAnsi="Times New Roman"/>
          <w:color w:val="000000"/>
          <w:sz w:val="24"/>
        </w:rPr>
      </w:r>
    </w:p>
    <w:p w14:paraId="6FE85ADA">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1.3. Prekės turi būti visiškai sukomplektuotos, su visais dokumentais bei priklausiniais: maitinimo kabeliais, baterijomis, transportavimo dėklais, USB kabeliais ir kt.;</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2761EA78">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1.4. Prekių pakuotėse turi būti naudojimo instrukcijos knygelės, kuriose turi būti nurodyta prietaiso naudojimo instrukcija, garantinio laikotarpio terminas.</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2463DFD9">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w:t>
      </w:r>
      <w:r>
        <w:rPr>
          <w:rFonts w:ascii="Times New Roman" w:hAnsi="Times New Roman"/>
          <w:sz w:val="24"/>
          <w:szCs w:val="24"/>
        </w:rPr>
        <w:t xml:space="preserve"> </w:t>
      </w:r>
      <w:r>
        <w:rPr>
          <w:rFonts w:ascii="Times New Roman" w:hAnsi="Times New Roman"/>
          <w:color w:val="000000" w:themeColor="text1"/>
          <w:sz w:val="24"/>
          <w:szCs w:val="24"/>
          <w:lang w:eastAsia="lt-LT"/>
        </w:rPr>
        <w:t xml:space="preserve">Tiekėjas patvirtinta, kad įrangos pristatymas</w:t>
      </w:r>
      <w:r>
        <w:rPr>
          <w:rFonts w:ascii="Times New Roman" w:hAnsi="Times New Roman"/>
          <w:color w:val="000000" w:themeColor="text1"/>
          <w:sz w:val="24"/>
          <w:szCs w:val="24"/>
          <w:lang w:eastAsia="lt-LT"/>
        </w:rPr>
        <w:t xml:space="preserve"> į gydymo įstaigą, iškrovimas, pervežimas į montavimo vietą, montavimas, po montavimo likusių įpakavimo medžiagų išvežimas (utilizavimas), išbandymas, medicininio personalo ir/ar gydymo įstaigos inžinierių apmokymas įskaičiuotas į galutinę pasiūlymo kainą.</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31351464">
      <w:pPr>
        <w:pBdr/>
        <w:spacing w:after="0" w:line="240" w:lineRule="auto"/>
        <w:ind/>
        <w:rPr>
          <w:rFonts w:ascii="Times New Roman" w:hAnsi="Times New Roman"/>
          <w:sz w:val="24"/>
          <w:szCs w:val="24"/>
        </w:rPr>
      </w:pPr>
      <w:r>
        <w:rPr>
          <w:rFonts w:ascii="Times New Roman" w:hAnsi="Times New Roman"/>
          <w:color w:val="000000" w:themeColor="text1"/>
          <w:sz w:val="24"/>
          <w:szCs w:val="24"/>
          <w:lang w:eastAsia="lt-LT"/>
        </w:rPr>
        <w:t xml:space="preserve">1.6.</w:t>
      </w:r>
      <w:r>
        <w:rPr>
          <w:rFonts w:ascii="Times New Roman" w:hAnsi="Times New Roman"/>
          <w:sz w:val="24"/>
          <w:szCs w:val="24"/>
        </w:rPr>
        <w:t xml:space="preserve"> </w:t>
      </w:r>
      <w:r>
        <w:rPr>
          <w:rFonts w:ascii="Times New Roman" w:hAnsi="Times New Roman"/>
          <w:sz w:val="24"/>
          <w:szCs w:val="24"/>
        </w:rPr>
        <w:t xml:space="preserve">Garantinio aptarnavimo laikotarpis turi būti</w:t>
      </w:r>
      <w:r>
        <w:rPr>
          <w:rFonts w:ascii="Times New Roman" w:hAnsi="Times New Roman"/>
          <w:sz w:val="24"/>
          <w:szCs w:val="24"/>
        </w:rPr>
        <w:t xml:space="preserve"> n</w:t>
      </w:r>
      <w:r>
        <w:rPr>
          <w:rFonts w:ascii="Times New Roman" w:hAnsi="Times New Roman"/>
          <w:sz w:val="24"/>
          <w:szCs w:val="24"/>
        </w:rPr>
        <w:t xml:space="preserve">e maž</w:t>
      </w:r>
      <w:r>
        <w:rPr>
          <w:rFonts w:ascii="Times New Roman" w:hAnsi="Times New Roman"/>
          <w:sz w:val="24"/>
          <w:szCs w:val="24"/>
        </w:rPr>
        <w:t xml:space="preserve">esnis</w:t>
      </w:r>
      <w:r>
        <w:rPr>
          <w:rFonts w:ascii="Times New Roman" w:hAnsi="Times New Roman"/>
          <w:sz w:val="24"/>
          <w:szCs w:val="24"/>
        </w:rPr>
        <w:t xml:space="preserve"> kaip 24 mėn</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14:paraId="310D0648">
      <w:pPr>
        <w:pBdr/>
        <w:spacing w:after="0" w:line="240" w:lineRule="auto"/>
        <w:ind/>
        <w:rPr>
          <w:rFonts w:ascii="Times New Roman" w:hAnsi="Times New Roman"/>
          <w:sz w:val="24"/>
          <w:szCs w:val="24"/>
        </w:rPr>
      </w:pPr>
      <w:r>
        <w:rPr>
          <w:rFonts w:ascii="Times New Roman" w:hAnsi="Times New Roman"/>
          <w:sz w:val="24"/>
          <w:szCs w:val="24"/>
        </w:rPr>
        <w:t xml:space="preserve">1.7. </w:t>
      </w:r>
      <w:r>
        <w:rPr>
          <w:rFonts w:ascii="Times New Roman" w:hAnsi="Times New Roman"/>
          <w:sz w:val="24"/>
          <w:szCs w:val="24"/>
        </w:rPr>
        <w:t xml:space="preserve">Įranga turi būti nauja, neatnaujinta (angl. </w:t>
      </w:r>
      <w:r>
        <w:rPr>
          <w:rFonts w:ascii="Times New Roman" w:hAnsi="Times New Roman"/>
          <w:sz w:val="24"/>
          <w:szCs w:val="24"/>
        </w:rPr>
        <w:t xml:space="preserve">refurbished</w:t>
      </w:r>
      <w:r>
        <w:rPr>
          <w:rFonts w:ascii="Times New Roman" w:hAnsi="Times New Roman"/>
          <w:sz w:val="24"/>
          <w:szCs w:val="24"/>
        </w:rPr>
        <w:t xml:space="preserve">), pagaminta ne anksčiau negu 12 mėn. pristatymo dieną.</w:t>
      </w:r>
      <w:bookmarkEnd w:id="0"/>
      <w:r>
        <w:rPr>
          <w:rFonts w:ascii="Times New Roman" w:hAnsi="Times New Roman"/>
          <w:sz w:val="24"/>
          <w:szCs w:val="24"/>
        </w:rPr>
      </w:r>
      <w:r>
        <w:rPr>
          <w:rFonts w:ascii="Times New Roman" w:hAnsi="Times New Roman"/>
          <w:sz w:val="24"/>
          <w:szCs w:val="24"/>
        </w:rPr>
      </w:r>
    </w:p>
    <w:p w14:paraId="632DDAC6">
      <w:pPr>
        <w:pBdr/>
        <w:spacing w:after="0" w:line="240" w:lineRule="auto"/>
        <w:ind/>
        <w:rPr>
          <w:sz w:val="24"/>
          <w:szCs w:val="24"/>
        </w:rPr>
      </w:pPr>
      <w:r>
        <w:rPr>
          <w:sz w:val="24"/>
          <w:szCs w:val="24"/>
        </w:rPr>
        <w:t xml:space="preserve">1.8. vadovaujantis Lie</w:t>
      </w:r>
      <w:r>
        <w:rPr>
          <w:sz w:val="24"/>
          <w:szCs w:val="24"/>
        </w:rPr>
        <w:t xml:space="preserve">tuvos Respublikos aplinkos ministro 2011 m. birželio 28 d. įsakymu Nr. D1508 patvirtinto Aplinkos apsaugos kriterijų taikymo, vykdant žaliuosius pirkimus, aprašo 4.4.4.4. ir 4.4.4,5. punktais, perkamai prekei nustatomi tokie aplinkos apsaugos reikalavimai:</w:t>
      </w:r>
      <w:r>
        <w:rPr>
          <w:sz w:val="24"/>
          <w:szCs w:val="24"/>
        </w:rPr>
      </w:r>
      <w:r>
        <w:rPr>
          <w:sz w:val="24"/>
          <w:szCs w:val="24"/>
        </w:rPr>
      </w:r>
    </w:p>
    <w:p w14:paraId="28BFE8F5">
      <w:pPr>
        <w:pBdr/>
        <w:spacing w:after="0" w:line="240" w:lineRule="auto"/>
        <w:ind/>
        <w:rPr>
          <w:sz w:val="24"/>
          <w:szCs w:val="24"/>
        </w:rPr>
      </w:pPr>
      <w:r>
        <w:rPr>
          <w:sz w:val="24"/>
          <w:szCs w:val="24"/>
        </w:rPr>
        <w:t xml:space="preserve">1.8.1. prekė yra tvirta, ilgaamžė, funkcionali, ji ar jos sudedamosios dalys tinka  naudoti daug kartų ir (ar) lengvai pataisomos, ir (ar) pakeičiamos; </w:t>
      </w:r>
      <w:r>
        <w:rPr>
          <w:sz w:val="24"/>
          <w:szCs w:val="24"/>
        </w:rPr>
      </w:r>
      <w:r>
        <w:rPr>
          <w:sz w:val="24"/>
          <w:szCs w:val="24"/>
        </w:rPr>
      </w:r>
    </w:p>
    <w:p w14:paraId="7E3BCB6B">
      <w:pPr>
        <w:pBdr/>
        <w:spacing w:after="0" w:line="240" w:lineRule="auto"/>
        <w:ind/>
        <w:rPr>
          <w:sz w:val="24"/>
          <w:szCs w:val="24"/>
        </w:rPr>
      </w:pPr>
      <w:r>
        <w:rPr>
          <w:sz w:val="24"/>
          <w:szCs w:val="24"/>
        </w:rPr>
        <w:t xml:space="preserve">1.8.2. prekė, virtusi atliekomis, tinka paruošti pakartotinai naudoti ar perdirbti.</w:t>
      </w:r>
      <w:r>
        <w:rPr>
          <w:sz w:val="24"/>
          <w:szCs w:val="24"/>
        </w:rPr>
      </w:r>
      <w:r>
        <w:rPr>
          <w:sz w:val="24"/>
          <w:szCs w:val="24"/>
        </w:rPr>
      </w:r>
    </w:p>
    <w:p w14:paraId="191A089F">
      <w:pPr>
        <w:pBdr/>
        <w:spacing w:after="0" w:line="240" w:lineRule="auto"/>
        <w:ind/>
        <w:rPr/>
      </w:pPr>
      <w:r/>
      <w:r/>
      <w:r/>
    </w:p>
    <w:p w14:paraId="6257750A">
      <w:pPr>
        <w:pBdr/>
        <w:spacing/>
        <w:ind/>
        <w:rPr>
          <w:rFonts w:ascii="Times New Roman" w:hAnsi="Times New Roman"/>
          <w:b/>
          <w:bCs/>
          <w:sz w:val="24"/>
          <w:szCs w:val="24"/>
        </w:rPr>
      </w:pPr>
      <w:r>
        <w:rPr>
          <w:rFonts w:ascii="Times New Roman" w:hAnsi="Times New Roman"/>
          <w:b/>
          <w:bCs/>
          <w:sz w:val="24"/>
          <w:szCs w:val="24"/>
        </w:rPr>
        <w:t xml:space="preserve">2</w:t>
      </w:r>
      <w:r>
        <w:rPr>
          <w:rFonts w:ascii="Times New Roman" w:hAnsi="Times New Roman"/>
          <w:b/>
          <w:bCs/>
          <w:sz w:val="24"/>
          <w:szCs w:val="24"/>
        </w:rPr>
        <w:t xml:space="preserve">. P</w:t>
      </w:r>
      <w:r>
        <w:rPr>
          <w:rFonts w:ascii="Times New Roman" w:hAnsi="Times New Roman"/>
          <w:b/>
          <w:bCs/>
          <w:sz w:val="24"/>
          <w:szCs w:val="24"/>
        </w:rPr>
        <w:t xml:space="preserve">erkamo objekto privalomieji techniniai reikalavimai:</w:t>
      </w:r>
      <w:r>
        <w:rPr>
          <w:rFonts w:ascii="Times New Roman" w:hAnsi="Times New Roman"/>
          <w:b/>
          <w:bCs/>
          <w:sz w:val="24"/>
          <w:szCs w:val="24"/>
        </w:rPr>
      </w:r>
      <w:r>
        <w:rPr>
          <w:rFonts w:ascii="Times New Roman" w:hAnsi="Times New Roman"/>
          <w:b/>
          <w:bCs/>
          <w:sz w:val="24"/>
          <w:szCs w:val="24"/>
        </w:rPr>
      </w:r>
      <w:r>
        <w:rPr>
          <w:rFonts w:cs="Times New Roman"/>
          <w:b/>
          <w:bCs/>
          <w:lang w:val="lt-LT" w:eastAsia="en-US"/>
        </w:rPr>
      </w:r>
      <w:r>
        <w:rPr>
          <w:rFonts w:cs="Times New Roman"/>
          <w:b/>
          <w:bCs/>
          <w:lang w:val="lt-LT" w:eastAsia="en-US"/>
        </w:rPr>
      </w:r>
      <w:r>
        <w:rPr>
          <w:rFonts w:ascii="Times New Roman" w:hAnsi="Times New Roman"/>
          <w:b/>
          <w:bCs/>
          <w:sz w:val="24"/>
          <w:szCs w:val="24"/>
        </w:rPr>
      </w:r>
    </w:p>
    <w:p>
      <w:pPr>
        <w:pStyle w:val="665"/>
        <w:pBdr/>
        <w:spacing/>
        <w:ind w:right="-1" w:hanging="60" w:left="6120"/>
        <w:jc w:val="center"/>
        <w:rPr>
          <w:rFonts w:cs="Times New Roman"/>
          <w:szCs w:val="22"/>
          <w:lang w:val="lt-LT" w:eastAsia="en-US"/>
        </w:rPr>
      </w:pPr>
      <w:r>
        <w:rPr>
          <w:rFonts w:cs="Times New Roman"/>
          <w:szCs w:val="22"/>
          <w:lang w:val="lt-LT" w:eastAsia="en-US"/>
        </w:rPr>
      </w:r>
      <w:r>
        <w:rPr>
          <w:rFonts w:cs="Times New Roman"/>
          <w:szCs w:val="22"/>
          <w:lang w:val="lt-LT" w:eastAsia="en-US"/>
        </w:rPr>
      </w:r>
    </w:p>
    <w:tbl>
      <w:tblPr>
        <w:tblInd w:w="-4" w:type="dxa"/>
        <w:tblW w:w="9781" w:type="dxa"/>
        <w:tblBorders/>
        <w:tblLayout w:type="fixed"/>
        <w:tblLook w:val="04A0" w:firstRow="1" w:lastRow="0" w:firstColumn="1" w:lastColumn="0" w:noHBand="0" w:noVBand="1"/>
      </w:tblPr>
      <w:tblGrid>
        <w:gridCol w:w="540"/>
        <w:gridCol w:w="2295"/>
        <w:gridCol w:w="2529"/>
        <w:gridCol w:w="2084"/>
        <w:gridCol w:w="2333"/>
      </w:tblGrid>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
                <w:sz w:val="22"/>
                <w:lang w:val="lt-LT" w:eastAsia="en-US"/>
              </w:rPr>
            </w:pPr>
            <w:r>
              <w:rPr>
                <w:rFonts w:eastAsia="Times New Roman" w:cs="Times New Roman"/>
                <w:b/>
                <w:sz w:val="22"/>
                <w:lang w:val="lt-LT" w:eastAsia="en-US"/>
              </w:rPr>
              <w:t xml:space="preserve">Eil. Nr.</w:t>
            </w:r>
            <w:r>
              <w:rPr>
                <w:rFonts w:eastAsia="Times New Roman" w:cs="Times New Roman"/>
                <w:b/>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jc w:val="center"/>
              <w:rPr>
                <w:rFonts w:eastAsia="Times New Roman" w:cs="Times New Roman"/>
                <w:b/>
                <w:sz w:val="22"/>
                <w:lang w:val="lt-LT" w:eastAsia="en-US"/>
              </w:rPr>
            </w:pPr>
            <w:r>
              <w:rPr>
                <w:rFonts w:eastAsia="Times New Roman" w:cs="Times New Roman"/>
                <w:b/>
                <w:sz w:val="22"/>
                <w:lang w:val="lt-LT" w:eastAsia="en-US"/>
              </w:rPr>
              <w:t xml:space="preserve">Techniniai parametrai</w:t>
            </w:r>
            <w:r>
              <w:rPr>
                <w:rFonts w:eastAsia="Times New Roman" w:cs="Times New Roman"/>
                <w:b/>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jc w:val="center"/>
              <w:rPr>
                <w:rFonts w:eastAsia="Times New Roman" w:cs="Times New Roman"/>
                <w:b/>
                <w:sz w:val="22"/>
                <w:lang w:val="lt-LT" w:eastAsia="en-US"/>
              </w:rPr>
            </w:pPr>
            <w:r>
              <w:rPr>
                <w:rFonts w:eastAsia="Times New Roman" w:cs="Times New Roman"/>
                <w:b/>
                <w:sz w:val="22"/>
                <w:lang w:val="lt-LT" w:eastAsia="en-US"/>
              </w:rPr>
              <w:t xml:space="preserve">Privalomi techniniai parametrai</w:t>
            </w:r>
            <w:r>
              <w:rPr>
                <w:rFonts w:eastAsia="Times New Roman" w:cs="Times New Roman"/>
                <w:b/>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jc w:val="center"/>
              <w:rPr>
                <w:rFonts w:eastAsia="Times New Roman" w:cs="Times New Roman"/>
                <w:b/>
                <w:sz w:val="22"/>
                <w:lang w:val="lt-LT" w:eastAsia="en-US"/>
              </w:rPr>
            </w:pPr>
            <w:r>
              <w:rPr>
                <w:rFonts w:eastAsia="Times New Roman" w:cs="Times New Roman"/>
                <w:b/>
                <w:sz w:val="22"/>
                <w:lang w:val="lt-LT" w:eastAsia="en-US"/>
              </w:rPr>
              <w:t xml:space="preserve">Siūlomi techniniai parametrai</w:t>
            </w:r>
            <w:r>
              <w:rPr>
                <w:rFonts w:eastAsia="Times New Roman" w:cs="Times New Roman"/>
                <w:b/>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jc w:val="center"/>
              <w:rPr>
                <w:rFonts w:eastAsia="Times New Roman" w:cs="Times New Roman"/>
                <w:b/>
                <w:sz w:val="22"/>
                <w:lang w:val="lt-LT" w:eastAsia="en-US"/>
              </w:rPr>
            </w:pPr>
            <w:r>
              <w:rPr>
                <w:rFonts w:eastAsia="Times New Roman" w:cs="Times New Roman"/>
                <w:b/>
                <w:sz w:val="22"/>
                <w:lang w:val="lt-LT" w:eastAsia="en-US"/>
              </w:rPr>
              <w:t xml:space="preserve">Puslapio Nr. pasiūlyme </w:t>
            </w:r>
            <w:r>
              <w:rPr>
                <w:rFonts w:eastAsia="Times New Roman" w:cs="Times New Roman"/>
                <w:b/>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sz w:val="22"/>
                <w:lang w:val="lt-LT" w:eastAsia="en-US"/>
              </w:rPr>
            </w:pPr>
            <w:r>
              <w:rPr>
                <w:rFonts w:eastAsia="Times New Roman" w:cs="Times New Roman"/>
                <w:sz w:val="22"/>
                <w:lang w:val="lt-LT" w:eastAsia="en-US"/>
              </w:rPr>
              <w:t xml:space="preserve">1.</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Kėdės konstrukcija:</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sz w:val="22"/>
                <w:lang w:val="lt-LT" w:eastAsia="en-US"/>
              </w:rPr>
              <w:t xml:space="preserve">-3-ių dalių</w:t>
            </w:r>
            <w:r/>
          </w:p>
          <w:p>
            <w:pPr>
              <w:pStyle w:val="665"/>
              <w:pBdr/>
              <w:spacing/>
              <w:ind/>
              <w:rPr>
                <w:rFonts w:eastAsia="Times New Roman" w:cs="Times New Roman"/>
                <w:sz w:val="22"/>
                <w:lang w:val="lt-LT" w:eastAsia="en-US"/>
              </w:rPr>
            </w:pPr>
            <w:r>
              <w:rPr>
                <w:rFonts w:eastAsia="Times New Roman" w:cs="Times New Roman"/>
                <w:sz w:val="22"/>
                <w:lang w:val="lt-LT" w:eastAsia="en-US"/>
              </w:rPr>
              <w:t xml:space="preserve">-Rėmas metalinis, padengtas milteliniu būdu;</w:t>
            </w:r>
            <w:r>
              <w:rPr>
                <w:rFonts w:eastAsia="Times New Roman" w:cs="Times New Roman"/>
                <w:sz w:val="22"/>
                <w:lang w:val="lt-LT" w:eastAsia="en-US"/>
              </w:rPr>
            </w:r>
          </w:p>
          <w:p>
            <w:pPr>
              <w:pStyle w:val="665"/>
              <w:pBdr/>
              <w:spacing/>
              <w:ind/>
              <w:rPr/>
            </w:pPr>
            <w:r>
              <w:rPr>
                <w:rStyle w:val="666"/>
                <w:rFonts w:eastAsia="Times New Roman" w:cs="Times New Roman"/>
                <w:sz w:val="22"/>
                <w:lang w:val="lt-LT" w:eastAsia="en-US"/>
              </w:rPr>
              <w:t xml:space="preserve">-Kėdės </w:t>
            </w:r>
            <w:r>
              <w:rPr>
                <w:rStyle w:val="666"/>
                <w:rFonts w:eastAsia="Times New Roman" w:cs="Times New Roman"/>
                <w:sz w:val="22"/>
                <w:lang w:val="lt-LT" w:eastAsia="en-US"/>
              </w:rPr>
              <w:t xml:space="preserve">paviršius lengvai valomas ir dezinfekuojamas</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sz w:val="22"/>
                <w:lang w:val="lt-LT" w:eastAsia="en-US"/>
              </w:rPr>
            </w:pPr>
            <w:r>
              <w:rPr>
                <w:rFonts w:eastAsia="Times New Roman" w:cs="Times New Roman"/>
                <w:sz w:val="22"/>
                <w:lang w:val="lt-LT" w:eastAsia="en-US"/>
              </w:rPr>
              <w:t xml:space="preserve">2.</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pPr>
            <w:r>
              <w:rPr>
                <w:rStyle w:val="666"/>
                <w:rFonts w:eastAsia="Times New Roman" w:cs="Times New Roman"/>
                <w:sz w:val="22"/>
                <w:lang w:val="lt-LT" w:eastAsia="en-US"/>
              </w:rPr>
              <w:t xml:space="preserve">Elektrinis aukščio ir nugaros atlošo valdymas.</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bCs/>
                <w:sz w:val="22"/>
                <w:lang w:val="lt-LT" w:eastAsia="en-US"/>
              </w:rPr>
              <w:t xml:space="preserve">Būtina</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sz w:val="22"/>
                <w:lang w:val="lt-LT" w:eastAsia="en-US"/>
              </w:rPr>
            </w:pPr>
            <w:r>
              <w:rPr>
                <w:rFonts w:eastAsia="Times New Roman" w:cs="Times New Roman"/>
                <w:sz w:val="22"/>
                <w:lang w:val="lt-LT" w:eastAsia="en-US"/>
              </w:rPr>
              <w:t xml:space="preserve">3.</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Elektrinis arba mechaninis sėdimos, kojų dalių reguliavimas</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t xml:space="preserve">Būtina</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4.</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pPr>
            <w:r>
              <w:rPr>
                <w:rStyle w:val="666"/>
                <w:rFonts w:eastAsia="Times New Roman" w:cs="Times New Roman"/>
                <w:sz w:val="22"/>
                <w:lang w:val="lt-LT" w:eastAsia="en-US"/>
              </w:rPr>
              <w:t xml:space="preserve">Bendras gulto ilgis horizontalioje padėtyje</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sz w:val="22"/>
                <w:lang w:val="lt-LT" w:eastAsia="en-US"/>
              </w:rPr>
              <w:t xml:space="preserve">1900±100 mm.</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5.</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pPr>
            <w:r>
              <w:rPr>
                <w:rStyle w:val="666"/>
                <w:rFonts w:eastAsia="Times New Roman" w:cs="Times New Roman"/>
                <w:sz w:val="22"/>
                <w:lang w:val="lt-LT" w:eastAsia="en-US"/>
              </w:rPr>
              <w:t xml:space="preserve">Sėdynės ir nugaros atramos plotis</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sz w:val="22"/>
                <w:lang w:val="lt-LT" w:eastAsia="en-US"/>
              </w:rPr>
              <w:t xml:space="preserve">650±100 mm.</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6.</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Minimalus sėdynės aukštis </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Ne daugiau 600 mm.</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7.</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Maksimalus sėdynės aukštis </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Ne mažiau kaip 850 mm.</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8.</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Nugarinės sėdimos, kojų dalių, pasvirimo kampų reguliavimas</w:t>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Nugarinės dalies  </w:t>
            </w:r>
            <w:r>
              <w:rPr>
                <w:rFonts w:eastAsia="Times New Roman" w:cs="Times New Roman"/>
                <w:lang w:val="lt-LT" w:eastAsia="en-US"/>
              </w:rPr>
            </w:r>
          </w:p>
          <w:p>
            <w:pPr>
              <w:pStyle w:val="665"/>
              <w:pBdr/>
              <w:spacing/>
              <w:ind/>
              <w:rPr/>
            </w:pPr>
            <w:r>
              <w:rPr>
                <w:rStyle w:val="666"/>
                <w:rFonts w:eastAsia="Times New Roman" w:cs="Times New Roman"/>
                <w:lang w:val="lt-LT" w:eastAsia="en-US"/>
              </w:rPr>
              <w:t xml:space="preserve">Nuo( -5° iki </w:t>
            </w:r>
            <w:r>
              <w:rPr>
                <w:rStyle w:val="666"/>
                <w:rFonts w:eastAsia="Times New Roman" w:cs="Times New Roman"/>
                <w:lang w:val="lt-LT" w:eastAsia="en-US"/>
              </w:rPr>
              <w:t xml:space="preserve">80°)</w:t>
            </w:r>
            <w:r>
              <w:rPr>
                <w:rStyle w:val="666"/>
                <w:rFonts w:eastAsia="Times New Roman" w:cs="Times New Roman"/>
                <w:sz w:val="22"/>
                <w:lang w:val="lt-LT" w:eastAsia="en-US"/>
              </w:rPr>
              <w:t xml:space="preserve">±5</w:t>
            </w:r>
            <w:r>
              <w:rPr>
                <w:rStyle w:val="666"/>
                <w:rFonts w:eastAsia="Times New Roman" w:cs="Times New Roman"/>
                <w:lang w:val="lt-LT" w:eastAsia="en-US"/>
              </w:rPr>
              <w:t xml:space="preserve">°</w:t>
            </w:r>
            <w:r/>
          </w:p>
          <w:p>
            <w:pPr>
              <w:pStyle w:val="665"/>
              <w:pBdr/>
              <w:spacing/>
              <w:ind/>
              <w:rPr/>
            </w:pPr>
            <w:r>
              <w:rPr>
                <w:rStyle w:val="666"/>
                <w:rFonts w:eastAsia="Times New Roman" w:cs="Times New Roman"/>
                <w:lang w:val="lt-LT" w:eastAsia="en-US"/>
              </w:rPr>
              <w:t xml:space="preserve">Sėdimos dalies     iki 10°</w:t>
            </w:r>
            <w:r>
              <w:rPr>
                <w:rStyle w:val="666"/>
                <w:rFonts w:eastAsia="Times New Roman" w:cs="Times New Roman"/>
                <w:sz w:val="22"/>
                <w:lang w:val="lt-LT" w:eastAsia="en-US"/>
              </w:rPr>
              <w:t xml:space="preserve">±5</w:t>
            </w:r>
            <w:r>
              <w:rPr>
                <w:rStyle w:val="666"/>
                <w:rFonts w:eastAsia="Times New Roman" w:cs="Times New Roman"/>
                <w:lang w:val="lt-LT" w:eastAsia="en-US"/>
              </w:rPr>
              <w:t xml:space="preserve">°</w:t>
            </w:r>
            <w:r/>
          </w:p>
          <w:p>
            <w:pPr>
              <w:pStyle w:val="665"/>
              <w:pBdr/>
              <w:spacing/>
              <w:ind/>
              <w:rPr>
                <w:rFonts w:eastAsia="Times New Roman" w:cs="Times New Roman"/>
                <w:lang w:val="lt-LT" w:eastAsia="en-US"/>
              </w:rPr>
            </w:pPr>
            <w:r>
              <w:rPr>
                <w:rFonts w:eastAsia="Times New Roman" w:cs="Times New Roman"/>
                <w:lang w:val="lt-LT" w:eastAsia="en-US"/>
              </w:rPr>
              <w:t xml:space="preserve">Kojų dalies  </w:t>
            </w:r>
            <w:r>
              <w:rPr>
                <w:rFonts w:eastAsia="Times New Roman" w:cs="Times New Roman"/>
                <w:lang w:val="lt-LT" w:eastAsia="en-US"/>
              </w:rPr>
            </w:r>
          </w:p>
          <w:p>
            <w:pPr>
              <w:pStyle w:val="665"/>
              <w:pBdr/>
              <w:spacing/>
              <w:ind/>
              <w:rPr/>
            </w:pPr>
            <w:r>
              <w:rPr>
                <w:rStyle w:val="666"/>
                <w:rFonts w:eastAsia="Times New Roman" w:cs="Times New Roman"/>
                <w:lang w:val="lt-LT" w:eastAsia="en-US"/>
              </w:rPr>
              <w:t xml:space="preserve">Nuo (-90° iki 20°)</w:t>
            </w:r>
            <w:r>
              <w:rPr>
                <w:rStyle w:val="666"/>
                <w:rFonts w:eastAsia="Times New Roman" w:cs="Times New Roman"/>
                <w:sz w:val="22"/>
                <w:lang w:val="lt-LT" w:eastAsia="en-US"/>
              </w:rPr>
              <w:t xml:space="preserve">±10</w:t>
            </w:r>
            <w:r>
              <w:rPr>
                <w:rStyle w:val="666"/>
                <w:rFonts w:eastAsia="Times New Roman" w:cs="Times New Roman"/>
                <w:lang w:val="lt-LT" w:eastAsia="en-US"/>
              </w:rPr>
              <w:t xml:space="preserve">°</w:t>
            </w:r>
            <w:r/>
          </w:p>
          <w:p>
            <w:pPr>
              <w:pStyle w:val="665"/>
              <w:pBdr/>
              <w:spacing/>
              <w:ind/>
              <w:rPr>
                <w:rFonts w:eastAsia="Times New Roman" w:cs="Times New Roman"/>
                <w:lang w:val="lt-LT" w:eastAsia="en-US"/>
              </w:rPr>
            </w:pPr>
            <w:r>
              <w:rPr>
                <w:rFonts w:eastAsia="Times New Roman" w:cs="Times New Roman"/>
                <w:lang w:val="lt-LT" w:eastAsia="en-US"/>
              </w:rPr>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9.</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t xml:space="preserve">Kojų reguliavimo padėtis </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t xml:space="preserve">Būtina</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10.</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t xml:space="preserve">Komplektacija</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sz w:val="22"/>
                <w:lang w:val="lt-LT" w:eastAsia="en-US"/>
              </w:rPr>
              <w:t xml:space="preserve">Reguliuojami kojų atramos laikikliai, skysčių surinkimo indas                  (nerūdijančio plieno)</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11</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Porankiai</w:t>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sz w:val="22"/>
                <w:lang w:val="lt-LT" w:eastAsia="en-US"/>
              </w:rPr>
              <w:t xml:space="preserve">Nulenkiami porankiai</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12</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Kėdės apmušalo spalva</w:t>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lang w:val="lt-LT" w:eastAsia="en-US"/>
              </w:rPr>
              <w:t xml:space="preserve">Galimybė rinktis iš ne mažiau kaip 10 spalvų. Pateikti spalvų paletę.</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13</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Garantija</w:t>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pPr>
            <w:r>
              <w:rPr>
                <w:rStyle w:val="666"/>
                <w:rFonts w:eastAsia="Times New Roman" w:cs="Times New Roman"/>
                <w:sz w:val="22"/>
                <w:lang w:val="lt-LT" w:eastAsia="en-US"/>
              </w:rPr>
              <w:t xml:space="preserve">Ne mažiau 24 mėnesiai</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14</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Dokumentacija</w:t>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Naudojimo instrukcija originalo ir lietuvių kalba, sertifikatas, įrangos prietaiso pasas.</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r>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0" w:type="dxa"/>
            <w:textDirection w:val="lrTb"/>
          </w:tcPr>
          <w:p>
            <w:pPr>
              <w:pStyle w:val="665"/>
              <w:pBdr/>
              <w:spacing/>
              <w:ind/>
              <w:jc w:val="center"/>
              <w:rPr>
                <w:rFonts w:eastAsia="Times New Roman" w:cs="Times New Roman"/>
                <w:bCs/>
                <w:sz w:val="22"/>
                <w:lang w:val="lt-LT" w:eastAsia="en-US"/>
              </w:rPr>
            </w:pPr>
            <w:r>
              <w:rPr>
                <w:rFonts w:eastAsia="Times New Roman" w:cs="Times New Roman"/>
                <w:bCs/>
                <w:sz w:val="22"/>
                <w:lang w:val="lt-LT" w:eastAsia="en-US"/>
              </w:rPr>
              <w:t xml:space="preserve">15</w:t>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95" w:type="dxa"/>
            <w:textDirection w:val="lrTb"/>
          </w:tcPr>
          <w:p>
            <w:pPr>
              <w:pStyle w:val="665"/>
              <w:pBdr/>
              <w:spacing/>
              <w:ind/>
              <w:rPr>
                <w:rFonts w:eastAsia="Times New Roman" w:cs="Times New Roman"/>
                <w:lang w:val="lt-LT" w:eastAsia="en-US"/>
              </w:rPr>
            </w:pPr>
            <w:r>
              <w:rPr>
                <w:rFonts w:eastAsia="Times New Roman" w:cs="Times New Roman"/>
                <w:lang w:val="lt-LT" w:eastAsia="en-US"/>
              </w:rPr>
              <w:t xml:space="preserve">Įrangos pristatymas</w:t>
            </w:r>
            <w:r>
              <w:rPr>
                <w:rFonts w:eastAsia="Times New Roman" w:cs="Times New Roman"/>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529" w:type="dxa"/>
            <w:textDirection w:val="lrTb"/>
          </w:tcPr>
          <w:p>
            <w:pPr>
              <w:pStyle w:val="665"/>
              <w:pBdr/>
              <w:spacing/>
              <w:ind/>
              <w:rPr>
                <w:rFonts w:eastAsia="Times New Roman" w:cs="Times New Roman"/>
                <w:sz w:val="22"/>
                <w:lang w:val="lt-LT" w:eastAsia="en-US"/>
              </w:rPr>
            </w:pPr>
            <w:r>
              <w:rPr>
                <w:rFonts w:eastAsia="Times New Roman" w:cs="Times New Roman"/>
                <w:sz w:val="22"/>
                <w:lang w:val="lt-LT" w:eastAsia="en-US"/>
              </w:rPr>
              <w:t xml:space="preserve">Įrangą pristato įgaliotas atstovas, sumontuoja ir apmoko darbuotojus dirbti.</w:t>
            </w:r>
            <w:r>
              <w:rPr>
                <w:rFonts w:eastAsia="Times New Roman" w:cs="Times New Roman"/>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084"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333" w:type="dxa"/>
            <w:textDirection w:val="lrTb"/>
          </w:tcPr>
          <w:p>
            <w:pPr>
              <w:pStyle w:val="665"/>
              <w:pBdr/>
              <w:spacing/>
              <w:ind/>
              <w:rPr>
                <w:rFonts w:eastAsia="Times New Roman" w:cs="Times New Roman"/>
                <w:bCs/>
                <w:sz w:val="22"/>
                <w:lang w:val="lt-LT" w:eastAsia="en-US"/>
              </w:rPr>
            </w:pPr>
            <w:r>
              <w:rPr>
                <w:rFonts w:eastAsia="Times New Roman" w:cs="Times New Roman"/>
                <w:bCs/>
                <w:sz w:val="22"/>
                <w:lang w:val="lt-LT" w:eastAsia="en-US"/>
              </w:rPr>
            </w:r>
            <w:r>
              <w:rPr>
                <w:rFonts w:eastAsia="Times New Roman" w:cs="Times New Roman"/>
                <w:bCs/>
                <w:sz w:val="22"/>
                <w:lang w:val="lt-LT" w:eastAsia="en-US"/>
              </w:rPr>
            </w:r>
          </w:p>
        </w:tc>
      </w:tr>
    </w:tbl>
    <w:p w14:paraId="51A270E6">
      <w:pPr>
        <w:pStyle w:val="665"/>
        <w:pBdr/>
        <w:spacing/>
        <w:ind w:right="-1" w:firstLine="0" w:left="0"/>
        <w:jc w:val="both"/>
        <w:rPr>
          <w:rFonts w:cs="Times New Roman"/>
          <w:lang w:val="lt-LT" w:eastAsia="en-US"/>
        </w:rPr>
      </w:pPr>
      <w:r>
        <w:rPr>
          <w:rFonts w:cs="Times New Roman"/>
          <w:iCs/>
          <w:lang w:val="lt-LT" w:eastAsia="en-US"/>
        </w:rPr>
      </w:r>
      <w:r>
        <w:rPr>
          <w:rFonts w:cs="Times New Roman"/>
          <w:iCs/>
          <w:lang w:val="lt-LT" w:eastAsia="en-US"/>
        </w:rPr>
      </w:r>
      <w:r>
        <w:rPr>
          <w:rFonts w:cs="Times New Roman"/>
          <w:iCs/>
          <w:lang w:val="lt-LT" w:eastAsia="en-US"/>
        </w:rPr>
      </w:r>
    </w:p>
    <w:p w14:paraId="01AC4548">
      <w:pPr>
        <w:pStyle w:val="665"/>
        <w:pBdr/>
        <w:spacing/>
        <w:ind w:right="-1" w:firstLine="0" w:left="0"/>
        <w:jc w:val="both"/>
        <w:rPr>
          <w:rFonts w:cs="Times New Roman"/>
          <w:lang w:val="lt-LT" w:eastAsia="en-US"/>
        </w:rPr>
      </w:pPr>
      <w:r>
        <w:rPr>
          <w:rFonts w:cs="Times New Roman"/>
          <w:iCs/>
          <w:lang w:val="lt-LT" w:eastAsia="en-US"/>
        </w:rPr>
      </w:r>
      <w:r>
        <w:rPr>
          <w:rFonts w:cs="Times New Roman"/>
          <w:iCs/>
          <w:lang w:val="lt-LT" w:eastAsia="en-US"/>
        </w:rPr>
      </w:r>
      <w:r>
        <w:rPr>
          <w:rFonts w:cs="Times New Roman"/>
          <w:iCs/>
          <w:lang w:val="lt-LT" w:eastAsia="en-US"/>
        </w:rPr>
      </w:r>
    </w:p>
    <w:p w14:paraId="02F197A5">
      <w:pPr>
        <w:pStyle w:val="665"/>
        <w:pBdr/>
        <w:spacing/>
        <w:ind w:right="-1" w:firstLine="0" w:left="0"/>
        <w:jc w:val="both"/>
        <w:rPr>
          <w:rFonts w:cs="Times New Roman"/>
          <w:lang w:val="lt-LT" w:eastAsia="en-US"/>
        </w:rPr>
      </w:pPr>
      <w:r>
        <w:rPr>
          <w:rFonts w:cs="Times New Roman"/>
          <w:iCs/>
          <w:lang w:val="lt-LT" w:eastAsia="en-US"/>
        </w:rPr>
      </w:r>
      <w:r>
        <w:rPr>
          <w:rFonts w:cs="Times New Roman"/>
          <w:iCs/>
          <w:lang w:val="lt-LT" w:eastAsia="en-US"/>
        </w:rPr>
      </w:r>
      <w:r>
        <w:rPr>
          <w:rFonts w:cs="Times New Roman"/>
          <w:iCs/>
          <w:lang w:val="lt-LT" w:eastAsia="en-US"/>
        </w:rPr>
      </w:r>
    </w:p>
    <w:p>
      <w:pPr>
        <w:pStyle w:val="665"/>
        <w:pBdr/>
        <w:spacing/>
        <w:ind w:right="-1" w:firstLine="0" w:left="0"/>
        <w:jc w:val="both"/>
        <w:rPr>
          <w:rFonts w:cs="Times New Roman"/>
          <w:iCs/>
          <w:lang w:val="lt-LT" w:eastAsia="en-US"/>
        </w:rPr>
      </w:pPr>
      <w:r>
        <w:rPr>
          <w:rFonts w:cs="Times New Roman"/>
          <w:iCs/>
          <w:lang w:val="lt-LT" w:eastAsia="en-US"/>
        </w:rPr>
      </w:r>
      <w:r>
        <w:rPr>
          <w:rFonts w:cs="Times New Roman"/>
          <w:iCs/>
          <w:lang w:val="lt-LT" w:eastAsia="en-US"/>
        </w:rPr>
      </w:r>
    </w:p>
    <w:tbl>
      <w:tblPr>
        <w:tblInd w:w="-8" w:type="dxa"/>
        <w:tblW w:w="9792" w:type="dxa"/>
        <w:tblCellMar>
          <w:left w:w="40" w:type="dxa"/>
          <w:right w:w="40" w:type="dxa"/>
        </w:tblCellMar>
        <w:tblBorders/>
        <w:tblLayout w:type="fixed"/>
        <w:tblLook w:val="0000" w:firstRow="0" w:lastRow="0" w:firstColumn="0" w:lastColumn="0" w:noHBand="0" w:noVBand="0"/>
      </w:tblPr>
      <w:tblGrid>
        <w:gridCol w:w="8"/>
        <w:gridCol w:w="991"/>
        <w:gridCol w:w="2584"/>
        <w:gridCol w:w="638"/>
        <w:gridCol w:w="1173"/>
        <w:gridCol w:w="918"/>
        <w:gridCol w:w="740"/>
        <w:gridCol w:w="2740"/>
      </w:tblGrid>
      <w:tr>
        <w:trPr>
          <w:trHeight w:val="186"/>
        </w:trPr>
        <w:tc>
          <w:tcPr>
            <w:gridSpan w:val="3"/>
            <w:tcBorders>
              <w:top w:val="single" w:color="000000" w:sz="4" w:space="0"/>
              <w:left w:val="none" w:color="000000" w:sz="4" w:space="0"/>
              <w:bottom w:val="none" w:color="000000" w:sz="4" w:space="0"/>
              <w:right w:val="none" w:color="000000" w:sz="4" w:space="0"/>
            </w:tcBorders>
            <w:tcW w:w="3583" w:type="dxa"/>
          </w:tcPr>
          <w:p w14:paraId="09A4AB46">
            <w:pPr>
              <w:pBdr/>
              <w:spacing w:after="0"/>
              <w:ind/>
              <w:rPr>
                <w:rFonts w:ascii="Times New Roman" w:hAnsi="Times New Roman"/>
                <w:lang w:eastAsia="de-DE"/>
              </w:rPr>
            </w:pPr>
            <w:r>
              <w:rPr>
                <w:rFonts w:ascii="Times New Roman" w:hAnsi="Times New Roman"/>
                <w:lang w:eastAsia="de-DE"/>
              </w:rPr>
              <w:t xml:space="preserve">(Tiekėjas arba jo įgaliotas asmuo)</w:t>
            </w:r>
            <w:r>
              <w:rPr>
                <w:rFonts w:ascii="Times New Roman" w:hAnsi="Times New Roman"/>
                <w:lang w:eastAsia="de-DE"/>
              </w:rPr>
            </w:r>
            <w:r>
              <w:rPr>
                <w:rFonts w:ascii="Times New Roman" w:hAnsi="Times New Roman"/>
                <w:lang w:eastAsia="de-DE"/>
              </w:rPr>
            </w:r>
          </w:p>
        </w:tc>
        <w:tc>
          <w:tcPr>
            <w:tcBorders/>
            <w:tcW w:w="638" w:type="dxa"/>
          </w:tcPr>
          <w:p w14:paraId="487EB7F6">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r>
              <w:rPr>
                <w:rFonts w:ascii="Times New Roman" w:hAnsi="Times New Roman"/>
                <w:lang w:eastAsia="de-DE"/>
              </w:rPr>
            </w:r>
          </w:p>
        </w:tc>
        <w:tc>
          <w:tcPr>
            <w:gridSpan w:val="2"/>
            <w:tcBorders>
              <w:top w:val="single" w:color="000000" w:sz="4" w:space="0"/>
              <w:left w:val="none" w:color="000000" w:sz="4" w:space="0"/>
              <w:bottom w:val="none" w:color="000000" w:sz="4" w:space="0"/>
              <w:right w:val="none" w:color="000000" w:sz="4" w:space="0"/>
            </w:tcBorders>
            <w:tcW w:w="2091" w:type="dxa"/>
          </w:tcPr>
          <w:p w14:paraId="5B82648E">
            <w:pPr>
              <w:pBdr/>
              <w:spacing w:after="0"/>
              <w:ind/>
              <w:rPr>
                <w:rFonts w:ascii="Times New Roman" w:hAnsi="Times New Roman"/>
                <w:lang w:eastAsia="de-DE"/>
              </w:rPr>
            </w:pPr>
            <w:r>
              <w:rPr>
                <w:rFonts w:ascii="Times New Roman" w:hAnsi="Times New Roman"/>
                <w:lang w:eastAsia="de-DE"/>
              </w:rPr>
              <w:t xml:space="preserve">(parašas)</w:t>
            </w:r>
            <w:r>
              <w:rPr>
                <w:rFonts w:ascii="Times New Roman" w:hAnsi="Times New Roman"/>
                <w:i/>
                <w:lang w:eastAsia="de-DE"/>
              </w:rPr>
              <w:t xml:space="preserve"> </w:t>
            </w:r>
            <w:r>
              <w:rPr>
                <w:rFonts w:ascii="Times New Roman" w:hAnsi="Times New Roman"/>
                <w:lang w:eastAsia="de-DE"/>
              </w:rPr>
            </w:r>
            <w:r>
              <w:rPr>
                <w:rFonts w:ascii="Times New Roman" w:hAnsi="Times New Roman"/>
                <w:lang w:eastAsia="de-DE"/>
              </w:rPr>
            </w:r>
          </w:p>
        </w:tc>
        <w:tc>
          <w:tcPr>
            <w:tcBorders/>
            <w:tcW w:w="740" w:type="dxa"/>
          </w:tcPr>
          <w:p w14:paraId="63311953">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r>
              <w:rPr>
                <w:rFonts w:ascii="Times New Roman" w:hAnsi="Times New Roman"/>
                <w:lang w:eastAsia="de-DE"/>
              </w:rPr>
            </w:r>
          </w:p>
        </w:tc>
        <w:tc>
          <w:tcPr>
            <w:tcBorders>
              <w:top w:val="single" w:color="000000" w:sz="4" w:space="0"/>
              <w:left w:val="none" w:color="000000" w:sz="4" w:space="0"/>
              <w:bottom w:val="none" w:color="000000" w:sz="4" w:space="0"/>
              <w:right w:val="none" w:color="000000" w:sz="4" w:space="0"/>
            </w:tcBorders>
            <w:tcW w:w="2740" w:type="dxa"/>
          </w:tcPr>
          <w:p w14:paraId="44D29F2D">
            <w:pPr>
              <w:pBdr/>
              <w:spacing w:after="0"/>
              <w:ind/>
              <w:rPr>
                <w:rFonts w:ascii="Times New Roman" w:hAnsi="Times New Roman"/>
                <w:lang w:eastAsia="de-DE"/>
              </w:rPr>
            </w:pPr>
            <w:r>
              <w:rPr>
                <w:rFonts w:ascii="Times New Roman" w:hAnsi="Times New Roman"/>
                <w:lang w:eastAsia="de-DE"/>
              </w:rPr>
              <w:t xml:space="preserve">(vardas, pavardė)</w:t>
            </w:r>
            <w:r>
              <w:rPr>
                <w:rFonts w:ascii="Times New Roman" w:hAnsi="Times New Roman"/>
                <w:i/>
                <w:lang w:eastAsia="de-DE"/>
              </w:rPr>
              <w:t xml:space="preserve"> </w:t>
            </w:r>
            <w:r>
              <w:rPr>
                <w:rFonts w:ascii="Times New Roman" w:hAnsi="Times New Roman"/>
                <w:lang w:eastAsia="de-DE"/>
              </w:rPr>
            </w:r>
            <w:r>
              <w:rPr>
                <w:rFonts w:ascii="Times New Roman" w:hAnsi="Times New Roman"/>
                <w:lang w:eastAsia="de-DE"/>
              </w:rPr>
            </w:r>
          </w:p>
        </w:tc>
      </w:tr>
    </w:tbl>
    <w:p>
      <w:pPr>
        <w:pStyle w:val="667"/>
        <w:pBdr/>
        <w:spacing/>
        <w:ind/>
        <w:rPr>
          <w:lang w:val="lt-LT"/>
        </w:rPr>
      </w:pPr>
      <w:r>
        <w:rPr>
          <w:lang w:val="lt-LT"/>
        </w:rPr>
      </w:r>
      <w:r>
        <w:rPr>
          <w:lang w:val="lt-LT"/>
        </w:rPr>
      </w:r>
    </w:p>
    <w:sectPr>
      <w:footnotePr/>
      <w:endnotePr/>
      <w:type w:val="continuous"/>
      <w:pgSz w:h="16837" w:orient="portrait" w:w="11905"/>
      <w:pgMar w:top="1134" w:right="1134" w:bottom="1134" w:left="1134" w:header="1134"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ale Sans UI">
    <w:panose1 w:val="05040102010807070707"/>
  </w:font>
  <w:font w:name="Tahoma">
    <w:panose1 w:val="020B0604030504040204"/>
  </w:font>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w:basedOn w:val="1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1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1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1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1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default="1">
    <w:name w:val="Normal"/>
    <w:qFormat/>
    <w:pPr>
      <w:pBdr/>
      <w:spacing/>
      <w:ind/>
    </w:pPr>
  </w:style>
  <w:style w:type="paragraph" w:styleId="139">
    <w:name w:val="Heading 1"/>
    <w:basedOn w:val="138"/>
    <w:next w:val="138"/>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138"/>
    <w:next w:val="138"/>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138"/>
    <w:next w:val="138"/>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138"/>
    <w:next w:val="138"/>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138"/>
    <w:next w:val="138"/>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138"/>
    <w:next w:val="138"/>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138"/>
    <w:next w:val="138"/>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138"/>
    <w:next w:val="138"/>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138"/>
    <w:next w:val="138"/>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8" w:default="1">
    <w:name w:val="Default Paragraph Font"/>
    <w:uiPriority w:val="1"/>
    <w:semiHidden/>
    <w:unhideWhenUsed/>
    <w:pPr>
      <w:pBdr/>
      <w:spacing/>
      <w:ind/>
    </w:pPr>
  </w:style>
  <w:style w:type="numbering" w:styleId="149" w:default="1">
    <w:name w:val="No List"/>
    <w:uiPriority w:val="99"/>
    <w:semiHidden/>
    <w:unhideWhenUsed/>
    <w:pPr>
      <w:pBdr/>
      <w:spacing/>
      <w:ind/>
    </w:pPr>
  </w:style>
  <w:style w:type="character" w:styleId="150">
    <w:name w:val="Heading 1 Char"/>
    <w:basedOn w:val="14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14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14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148"/>
    <w:link w:val="142"/>
    <w:uiPriority w:val="9"/>
    <w:pPr>
      <w:pBdr/>
      <w:spacing/>
      <w:ind/>
    </w:pPr>
    <w:rPr>
      <w:rFonts w:ascii="Arial" w:hAnsi="Arial" w:eastAsia="Arial" w:cs="Arial"/>
      <w:i/>
      <w:iCs/>
      <w:color w:val="0f4761" w:themeColor="accent1" w:themeShade="BF"/>
    </w:rPr>
  </w:style>
  <w:style w:type="character" w:styleId="154">
    <w:name w:val="Heading 5 Char"/>
    <w:basedOn w:val="148"/>
    <w:link w:val="143"/>
    <w:uiPriority w:val="9"/>
    <w:pPr>
      <w:pBdr/>
      <w:spacing/>
      <w:ind/>
    </w:pPr>
    <w:rPr>
      <w:rFonts w:ascii="Arial" w:hAnsi="Arial" w:eastAsia="Arial" w:cs="Arial"/>
      <w:color w:val="0f4761" w:themeColor="accent1" w:themeShade="BF"/>
    </w:rPr>
  </w:style>
  <w:style w:type="character" w:styleId="155">
    <w:name w:val="Heading 6 Char"/>
    <w:basedOn w:val="148"/>
    <w:link w:val="144"/>
    <w:uiPriority w:val="9"/>
    <w:pPr>
      <w:pBdr/>
      <w:spacing/>
      <w:ind/>
    </w:pPr>
    <w:rPr>
      <w:rFonts w:ascii="Arial" w:hAnsi="Arial" w:eastAsia="Arial" w:cs="Arial"/>
      <w:i/>
      <w:iCs/>
      <w:color w:val="595959" w:themeColor="text1" w:themeTint="A6"/>
    </w:rPr>
  </w:style>
  <w:style w:type="character" w:styleId="156">
    <w:name w:val="Heading 7 Char"/>
    <w:basedOn w:val="148"/>
    <w:link w:val="145"/>
    <w:uiPriority w:val="9"/>
    <w:pPr>
      <w:pBdr/>
      <w:spacing/>
      <w:ind/>
    </w:pPr>
    <w:rPr>
      <w:rFonts w:ascii="Arial" w:hAnsi="Arial" w:eastAsia="Arial" w:cs="Arial"/>
      <w:color w:val="595959" w:themeColor="text1" w:themeTint="A6"/>
    </w:rPr>
  </w:style>
  <w:style w:type="character" w:styleId="157">
    <w:name w:val="Heading 8 Char"/>
    <w:basedOn w:val="148"/>
    <w:link w:val="146"/>
    <w:uiPriority w:val="9"/>
    <w:pPr>
      <w:pBdr/>
      <w:spacing/>
      <w:ind/>
    </w:pPr>
    <w:rPr>
      <w:rFonts w:ascii="Arial" w:hAnsi="Arial" w:eastAsia="Arial" w:cs="Arial"/>
      <w:i/>
      <w:iCs/>
      <w:color w:val="272727" w:themeColor="text1" w:themeTint="D8"/>
    </w:rPr>
  </w:style>
  <w:style w:type="character" w:styleId="158">
    <w:name w:val="Heading 9 Char"/>
    <w:basedOn w:val="148"/>
    <w:link w:val="147"/>
    <w:uiPriority w:val="9"/>
    <w:pPr>
      <w:pBdr/>
      <w:spacing/>
      <w:ind/>
    </w:pPr>
    <w:rPr>
      <w:rFonts w:ascii="Arial" w:hAnsi="Arial" w:eastAsia="Arial" w:cs="Arial"/>
      <w:i/>
      <w:iCs/>
      <w:color w:val="272727" w:themeColor="text1" w:themeTint="D8"/>
    </w:rPr>
  </w:style>
  <w:style w:type="paragraph" w:styleId="159">
    <w:name w:val="Title"/>
    <w:basedOn w:val="138"/>
    <w:next w:val="138"/>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148"/>
    <w:link w:val="159"/>
    <w:uiPriority w:val="10"/>
    <w:pPr>
      <w:pBdr/>
      <w:spacing/>
      <w:ind/>
    </w:pPr>
    <w:rPr>
      <w:rFonts w:ascii="Arial" w:hAnsi="Arial" w:eastAsia="Arial" w:cs="Arial"/>
      <w:spacing w:val="-10"/>
      <w:sz w:val="56"/>
      <w:szCs w:val="56"/>
    </w:rPr>
  </w:style>
  <w:style w:type="paragraph" w:styleId="161">
    <w:name w:val="Subtitle"/>
    <w:basedOn w:val="138"/>
    <w:next w:val="138"/>
    <w:link w:val="162"/>
    <w:uiPriority w:val="11"/>
    <w:qFormat/>
    <w:pPr>
      <w:numPr>
        <w:ilvl w:val="1"/>
      </w:numPr>
      <w:pBdr/>
      <w:spacing/>
      <w:ind/>
    </w:pPr>
    <w:rPr>
      <w:color w:val="595959" w:themeColor="text1" w:themeTint="A6"/>
      <w:spacing w:val="15"/>
      <w:sz w:val="28"/>
      <w:szCs w:val="28"/>
    </w:rPr>
  </w:style>
  <w:style w:type="character" w:styleId="162">
    <w:name w:val="Subtitle Char"/>
    <w:basedOn w:val="148"/>
    <w:link w:val="161"/>
    <w:uiPriority w:val="11"/>
    <w:pPr>
      <w:pBdr/>
      <w:spacing/>
      <w:ind/>
    </w:pPr>
    <w:rPr>
      <w:color w:val="595959" w:themeColor="text1" w:themeTint="A6"/>
      <w:spacing w:val="15"/>
      <w:sz w:val="28"/>
      <w:szCs w:val="28"/>
    </w:rPr>
  </w:style>
  <w:style w:type="paragraph" w:styleId="163">
    <w:name w:val="Quote"/>
    <w:basedOn w:val="138"/>
    <w:next w:val="138"/>
    <w:link w:val="164"/>
    <w:uiPriority w:val="29"/>
    <w:qFormat/>
    <w:pPr>
      <w:pBdr/>
      <w:spacing w:before="160"/>
      <w:ind/>
      <w:jc w:val="center"/>
    </w:pPr>
    <w:rPr>
      <w:i/>
      <w:iCs/>
      <w:color w:val="404040" w:themeColor="text1" w:themeTint="BF"/>
    </w:rPr>
  </w:style>
  <w:style w:type="character" w:styleId="164">
    <w:name w:val="Quote Char"/>
    <w:basedOn w:val="148"/>
    <w:link w:val="163"/>
    <w:uiPriority w:val="29"/>
    <w:pPr>
      <w:pBdr/>
      <w:spacing/>
      <w:ind/>
    </w:pPr>
    <w:rPr>
      <w:i/>
      <w:iCs/>
      <w:color w:val="404040" w:themeColor="text1" w:themeTint="BF"/>
    </w:rPr>
  </w:style>
  <w:style w:type="paragraph" w:styleId="165">
    <w:name w:val="List Paragraph"/>
    <w:basedOn w:val="138"/>
    <w:uiPriority w:val="34"/>
    <w:qFormat/>
    <w:pPr>
      <w:pBdr/>
      <w:spacing/>
      <w:ind w:left="720"/>
      <w:contextualSpacing w:val="true"/>
    </w:pPr>
  </w:style>
  <w:style w:type="character" w:styleId="166">
    <w:name w:val="Intense Emphasis"/>
    <w:basedOn w:val="148"/>
    <w:uiPriority w:val="21"/>
    <w:qFormat/>
    <w:pPr>
      <w:pBdr/>
      <w:spacing/>
      <w:ind/>
    </w:pPr>
    <w:rPr>
      <w:i/>
      <w:iCs/>
      <w:color w:val="0f4761" w:themeColor="accent1" w:themeShade="BF"/>
    </w:rPr>
  </w:style>
  <w:style w:type="paragraph" w:styleId="167">
    <w:name w:val="Intense Quote"/>
    <w:basedOn w:val="138"/>
    <w:next w:val="138"/>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48"/>
    <w:link w:val="167"/>
    <w:uiPriority w:val="30"/>
    <w:pPr>
      <w:pBdr/>
      <w:spacing/>
      <w:ind/>
    </w:pPr>
    <w:rPr>
      <w:i/>
      <w:iCs/>
      <w:color w:val="0f4761" w:themeColor="accent1" w:themeShade="BF"/>
    </w:rPr>
  </w:style>
  <w:style w:type="character" w:styleId="169">
    <w:name w:val="Intense Reference"/>
    <w:basedOn w:val="148"/>
    <w:uiPriority w:val="32"/>
    <w:qFormat/>
    <w:pPr>
      <w:pBdr/>
      <w:spacing/>
      <w:ind/>
    </w:pPr>
    <w:rPr>
      <w:b/>
      <w:bCs/>
      <w:smallCaps/>
      <w:color w:val="0f4761" w:themeColor="accent1" w:themeShade="BF"/>
      <w:spacing w:val="5"/>
    </w:rPr>
  </w:style>
  <w:style w:type="paragraph" w:styleId="170">
    <w:name w:val="No Spacing"/>
    <w:basedOn w:val="138"/>
    <w:uiPriority w:val="1"/>
    <w:qFormat/>
    <w:pPr>
      <w:pBdr/>
      <w:spacing w:after="0" w:line="240" w:lineRule="auto"/>
      <w:ind/>
    </w:pPr>
  </w:style>
  <w:style w:type="character" w:styleId="171">
    <w:name w:val="Subtle Emphasis"/>
    <w:basedOn w:val="148"/>
    <w:uiPriority w:val="19"/>
    <w:qFormat/>
    <w:pPr>
      <w:pBdr/>
      <w:spacing/>
      <w:ind/>
    </w:pPr>
    <w:rPr>
      <w:i/>
      <w:iCs/>
      <w:color w:val="404040" w:themeColor="text1" w:themeTint="BF"/>
    </w:rPr>
  </w:style>
  <w:style w:type="character" w:styleId="172">
    <w:name w:val="Emphasis"/>
    <w:basedOn w:val="148"/>
    <w:uiPriority w:val="20"/>
    <w:qFormat/>
    <w:pPr>
      <w:pBdr/>
      <w:spacing/>
      <w:ind/>
    </w:pPr>
    <w:rPr>
      <w:i/>
      <w:iCs/>
    </w:rPr>
  </w:style>
  <w:style w:type="character" w:styleId="173">
    <w:name w:val="Strong"/>
    <w:basedOn w:val="148"/>
    <w:uiPriority w:val="22"/>
    <w:qFormat/>
    <w:pPr>
      <w:pBdr/>
      <w:spacing/>
      <w:ind/>
    </w:pPr>
    <w:rPr>
      <w:b/>
      <w:bCs/>
    </w:rPr>
  </w:style>
  <w:style w:type="character" w:styleId="174">
    <w:name w:val="Subtle Reference"/>
    <w:basedOn w:val="148"/>
    <w:uiPriority w:val="31"/>
    <w:qFormat/>
    <w:pPr>
      <w:pBdr/>
      <w:spacing/>
      <w:ind/>
    </w:pPr>
    <w:rPr>
      <w:smallCaps/>
      <w:color w:val="5a5a5a" w:themeColor="text1" w:themeTint="A5"/>
    </w:rPr>
  </w:style>
  <w:style w:type="character" w:styleId="175">
    <w:name w:val="Book Title"/>
    <w:basedOn w:val="148"/>
    <w:uiPriority w:val="33"/>
    <w:qFormat/>
    <w:pPr>
      <w:pBdr/>
      <w:spacing/>
      <w:ind/>
    </w:pPr>
    <w:rPr>
      <w:b/>
      <w:bCs/>
      <w:i/>
      <w:iCs/>
      <w:spacing w:val="5"/>
    </w:rPr>
  </w:style>
  <w:style w:type="paragraph" w:styleId="176">
    <w:name w:val="Header"/>
    <w:basedOn w:val="138"/>
    <w:link w:val="177"/>
    <w:uiPriority w:val="99"/>
    <w:unhideWhenUsed/>
    <w:pPr>
      <w:pBdr/>
      <w:tabs>
        <w:tab w:val="center" w:leader="none" w:pos="4844"/>
        <w:tab w:val="right" w:leader="none" w:pos="9689"/>
      </w:tabs>
      <w:spacing w:after="0" w:line="240" w:lineRule="auto"/>
      <w:ind/>
    </w:pPr>
  </w:style>
  <w:style w:type="character" w:styleId="177">
    <w:name w:val="Header Char"/>
    <w:basedOn w:val="148"/>
    <w:link w:val="176"/>
    <w:uiPriority w:val="99"/>
    <w:pPr>
      <w:pBdr/>
      <w:spacing/>
      <w:ind/>
    </w:pPr>
  </w:style>
  <w:style w:type="paragraph" w:styleId="178">
    <w:name w:val="Footer"/>
    <w:basedOn w:val="138"/>
    <w:link w:val="179"/>
    <w:uiPriority w:val="99"/>
    <w:unhideWhenUsed/>
    <w:pPr>
      <w:pBdr/>
      <w:tabs>
        <w:tab w:val="center" w:leader="none" w:pos="4844"/>
        <w:tab w:val="right" w:leader="none" w:pos="9689"/>
      </w:tabs>
      <w:spacing w:after="0" w:line="240" w:lineRule="auto"/>
      <w:ind/>
    </w:pPr>
  </w:style>
  <w:style w:type="character" w:styleId="179">
    <w:name w:val="Footer Char"/>
    <w:basedOn w:val="148"/>
    <w:link w:val="178"/>
    <w:uiPriority w:val="99"/>
    <w:pPr>
      <w:pBdr/>
      <w:spacing/>
      <w:ind/>
    </w:pPr>
  </w:style>
  <w:style w:type="paragraph" w:styleId="180">
    <w:name w:val="Caption"/>
    <w:basedOn w:val="138"/>
    <w:next w:val="138"/>
    <w:uiPriority w:val="35"/>
    <w:unhideWhenUsed/>
    <w:qFormat/>
    <w:pPr>
      <w:pBdr/>
      <w:spacing w:after="200" w:line="240" w:lineRule="auto"/>
      <w:ind/>
    </w:pPr>
    <w:rPr>
      <w:i/>
      <w:iCs/>
      <w:color w:val="0e2841" w:themeColor="text2"/>
      <w:sz w:val="18"/>
      <w:szCs w:val="18"/>
    </w:rPr>
  </w:style>
  <w:style w:type="paragraph" w:styleId="181">
    <w:name w:val="footnote text"/>
    <w:basedOn w:val="138"/>
    <w:link w:val="182"/>
    <w:uiPriority w:val="99"/>
    <w:semiHidden/>
    <w:unhideWhenUsed/>
    <w:pPr>
      <w:pBdr/>
      <w:spacing w:after="0" w:line="240" w:lineRule="auto"/>
      <w:ind/>
    </w:pPr>
    <w:rPr>
      <w:sz w:val="20"/>
      <w:szCs w:val="20"/>
    </w:rPr>
  </w:style>
  <w:style w:type="character" w:styleId="182">
    <w:name w:val="Footnote Text Char"/>
    <w:basedOn w:val="148"/>
    <w:link w:val="181"/>
    <w:uiPriority w:val="99"/>
    <w:semiHidden/>
    <w:pPr>
      <w:pBdr/>
      <w:spacing/>
      <w:ind/>
    </w:pPr>
    <w:rPr>
      <w:sz w:val="20"/>
      <w:szCs w:val="20"/>
    </w:rPr>
  </w:style>
  <w:style w:type="character" w:styleId="183">
    <w:name w:val="footnote reference"/>
    <w:basedOn w:val="148"/>
    <w:uiPriority w:val="99"/>
    <w:semiHidden/>
    <w:unhideWhenUsed/>
    <w:pPr>
      <w:pBdr/>
      <w:spacing/>
      <w:ind/>
    </w:pPr>
    <w:rPr>
      <w:vertAlign w:val="superscript"/>
    </w:rPr>
  </w:style>
  <w:style w:type="paragraph" w:styleId="184">
    <w:name w:val="endnote text"/>
    <w:basedOn w:val="138"/>
    <w:link w:val="185"/>
    <w:uiPriority w:val="99"/>
    <w:semiHidden/>
    <w:unhideWhenUsed/>
    <w:pPr>
      <w:pBdr/>
      <w:spacing w:after="0" w:line="240" w:lineRule="auto"/>
      <w:ind/>
    </w:pPr>
    <w:rPr>
      <w:sz w:val="20"/>
      <w:szCs w:val="20"/>
    </w:rPr>
  </w:style>
  <w:style w:type="character" w:styleId="185">
    <w:name w:val="Endnote Text Char"/>
    <w:basedOn w:val="148"/>
    <w:link w:val="184"/>
    <w:uiPriority w:val="99"/>
    <w:semiHidden/>
    <w:pPr>
      <w:pBdr/>
      <w:spacing/>
      <w:ind/>
    </w:pPr>
    <w:rPr>
      <w:sz w:val="20"/>
      <w:szCs w:val="20"/>
    </w:rPr>
  </w:style>
  <w:style w:type="character" w:styleId="186">
    <w:name w:val="endnote reference"/>
    <w:basedOn w:val="148"/>
    <w:uiPriority w:val="99"/>
    <w:semiHidden/>
    <w:unhideWhenUsed/>
    <w:pPr>
      <w:pBdr/>
      <w:spacing/>
      <w:ind/>
    </w:pPr>
    <w:rPr>
      <w:vertAlign w:val="superscript"/>
    </w:rPr>
  </w:style>
  <w:style w:type="character" w:styleId="187">
    <w:name w:val="Hyperlink"/>
    <w:basedOn w:val="148"/>
    <w:uiPriority w:val="99"/>
    <w:unhideWhenUsed/>
    <w:pPr>
      <w:pBdr/>
      <w:spacing/>
      <w:ind/>
    </w:pPr>
    <w:rPr>
      <w:color w:val="0563c1" w:themeColor="hyperlink"/>
      <w:u w:val="single"/>
    </w:rPr>
  </w:style>
  <w:style w:type="character" w:styleId="188">
    <w:name w:val="FollowedHyperlink"/>
    <w:basedOn w:val="148"/>
    <w:uiPriority w:val="99"/>
    <w:semiHidden/>
    <w:unhideWhenUsed/>
    <w:pPr>
      <w:pBdr/>
      <w:spacing/>
      <w:ind/>
    </w:pPr>
    <w:rPr>
      <w:color w:val="954f72" w:themeColor="followedHyperlink"/>
      <w:u w:val="single"/>
    </w:rPr>
  </w:style>
  <w:style w:type="paragraph" w:styleId="189">
    <w:name w:val="toc 1"/>
    <w:basedOn w:val="138"/>
    <w:next w:val="138"/>
    <w:uiPriority w:val="39"/>
    <w:unhideWhenUsed/>
    <w:pPr>
      <w:pBdr/>
      <w:spacing w:after="100"/>
      <w:ind/>
    </w:pPr>
  </w:style>
  <w:style w:type="paragraph" w:styleId="190">
    <w:name w:val="toc 2"/>
    <w:basedOn w:val="138"/>
    <w:next w:val="138"/>
    <w:uiPriority w:val="39"/>
    <w:unhideWhenUsed/>
    <w:pPr>
      <w:pBdr/>
      <w:spacing w:after="100"/>
      <w:ind w:left="220"/>
    </w:pPr>
  </w:style>
  <w:style w:type="paragraph" w:styleId="191">
    <w:name w:val="toc 3"/>
    <w:basedOn w:val="138"/>
    <w:next w:val="138"/>
    <w:uiPriority w:val="39"/>
    <w:unhideWhenUsed/>
    <w:pPr>
      <w:pBdr/>
      <w:spacing w:after="100"/>
      <w:ind w:left="440"/>
    </w:pPr>
  </w:style>
  <w:style w:type="paragraph" w:styleId="192">
    <w:name w:val="toc 4"/>
    <w:basedOn w:val="138"/>
    <w:next w:val="138"/>
    <w:uiPriority w:val="39"/>
    <w:unhideWhenUsed/>
    <w:pPr>
      <w:pBdr/>
      <w:spacing w:after="100"/>
      <w:ind w:left="660"/>
    </w:pPr>
  </w:style>
  <w:style w:type="paragraph" w:styleId="193">
    <w:name w:val="toc 5"/>
    <w:basedOn w:val="138"/>
    <w:next w:val="138"/>
    <w:uiPriority w:val="39"/>
    <w:unhideWhenUsed/>
    <w:pPr>
      <w:pBdr/>
      <w:spacing w:after="100"/>
      <w:ind w:left="880"/>
    </w:pPr>
  </w:style>
  <w:style w:type="paragraph" w:styleId="194">
    <w:name w:val="toc 6"/>
    <w:basedOn w:val="138"/>
    <w:next w:val="138"/>
    <w:uiPriority w:val="39"/>
    <w:unhideWhenUsed/>
    <w:pPr>
      <w:pBdr/>
      <w:spacing w:after="100"/>
      <w:ind w:left="1100"/>
    </w:pPr>
  </w:style>
  <w:style w:type="paragraph" w:styleId="195">
    <w:name w:val="toc 7"/>
    <w:basedOn w:val="138"/>
    <w:next w:val="138"/>
    <w:uiPriority w:val="39"/>
    <w:unhideWhenUsed/>
    <w:pPr>
      <w:pBdr/>
      <w:spacing w:after="100"/>
      <w:ind w:left="1320"/>
    </w:pPr>
  </w:style>
  <w:style w:type="paragraph" w:styleId="196">
    <w:name w:val="toc 8"/>
    <w:basedOn w:val="138"/>
    <w:next w:val="138"/>
    <w:uiPriority w:val="39"/>
    <w:unhideWhenUsed/>
    <w:pPr>
      <w:pBdr/>
      <w:spacing w:after="100"/>
      <w:ind w:left="1540"/>
    </w:pPr>
  </w:style>
  <w:style w:type="paragraph" w:styleId="197">
    <w:name w:val="toc 9"/>
    <w:basedOn w:val="138"/>
    <w:next w:val="138"/>
    <w:uiPriority w:val="39"/>
    <w:unhideWhenUsed/>
    <w:pPr>
      <w:pBdr/>
      <w:spacing w:after="100"/>
      <w:ind w:left="1760"/>
    </w:pPr>
  </w:style>
  <w:style w:type="character" w:styleId="198">
    <w:name w:val="Placeholder Text"/>
    <w:basedOn w:val="14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138"/>
    <w:next w:val="138"/>
    <w:uiPriority w:val="99"/>
    <w:unhideWhenUsed/>
    <w:pPr>
      <w:pBdr/>
      <w:spacing w:after="0" w:afterAutospacing="0"/>
      <w:ind/>
    </w:pPr>
  </w:style>
  <w:style w:type="paragraph" w:styleId="664">
    <w:name w:val="DStyle_paragraph"/>
    <w:pPr>
      <w:keepLines w:val="false"/>
      <w:pageBreakBefore w:val="false"/>
      <w:widowControl w:val="false"/>
      <w:pBdr>
        <w:top w:val="none" w:color="000000" w:sz="4" w:space="0"/>
        <w:left w:val="none" w:color="000000" w:sz="4" w:space="0"/>
        <w:bottom w:val="none" w:color="000000" w:sz="4" w:space="0"/>
        <w:right w:val="none" w:color="000000" w:sz="4" w:space="0"/>
      </w:pBdr>
      <w:spacing w:line="240" w:lineRule="auto"/>
      <w:ind/>
      <w:jc w:val="left"/>
    </w:pPr>
    <w:rPr>
      <w:rFonts w:ascii="Times New Roman" w:hAnsi="Times New Roman" w:eastAsia="Andale Sans UI" w:cs="Tahoma"/>
      <w:b w:val="0"/>
      <w:bCs w:val="0"/>
      <w:i w:val="0"/>
      <w:iCs w:val="0"/>
      <w:caps w:val="0"/>
      <w:smallCaps w:val="0"/>
      <w:strike w:val="0"/>
      <w:color w:val="auto"/>
      <w:spacing w:val="0"/>
      <w:position w:val="0"/>
      <w:sz w:val="24"/>
      <w:szCs w:val="24"/>
      <w:u w:val="none"/>
      <w:shd w:val="clear" w:color="auto" w:fill="auto"/>
      <w:lang w:val="de-DE" w:eastAsia="ja-JP" w:bidi="fa-IR"/>
    </w:rPr>
  </w:style>
  <w:style w:type="paragraph" w:styleId="665" w:customStyle="1">
    <w:name w:val="Įprastasis"/>
    <w:basedOn w:val="664"/>
    <w:qFormat/>
    <w:pPr>
      <w:pBdr/>
      <w:spacing/>
      <w:ind/>
    </w:pPr>
  </w:style>
  <w:style w:type="character" w:styleId="666" w:customStyle="1">
    <w:name w:val="Numatytasis pastraipos šriftas"/>
    <w:basedOn w:val="664"/>
    <w:qFormat/>
    <w:pPr>
      <w:pBdr/>
      <w:spacing/>
      <w:ind/>
    </w:pPr>
  </w:style>
  <w:style w:type="paragraph" w:styleId="667" w:customStyle="1">
    <w:name w:val="Standard"/>
    <w:basedOn w:val="664"/>
    <w:qFormat/>
    <w:pPr>
      <w:pBdr/>
      <w:spacing/>
      <w:ind/>
    </w:pPr>
  </w:style>
  <w:style w:type="paragraph" w:styleId="668" w:customStyle="1">
    <w:name w:val="Heading"/>
    <w:basedOn w:val="667"/>
    <w:next w:val="669"/>
    <w:qFormat/>
    <w:pPr>
      <w:keepNext w:val="true"/>
      <w:pBdr/>
      <w:spacing w:after="120" w:before="240"/>
      <w:ind/>
    </w:pPr>
    <w:rPr>
      <w:rFonts w:ascii="Arial" w:hAnsi="Arial"/>
      <w:sz w:val="28"/>
      <w:szCs w:val="28"/>
    </w:rPr>
  </w:style>
  <w:style w:type="paragraph" w:styleId="669" w:customStyle="1">
    <w:name w:val="Text body"/>
    <w:basedOn w:val="667"/>
    <w:qFormat/>
    <w:pPr>
      <w:pBdr/>
      <w:spacing w:after="120"/>
      <w:ind/>
    </w:pPr>
  </w:style>
  <w:style w:type="paragraph" w:styleId="670" w:customStyle="1">
    <w:name w:val="Sąrašas"/>
    <w:basedOn w:val="669"/>
    <w:qFormat/>
    <w:pPr>
      <w:pBdr/>
      <w:spacing/>
      <w:ind/>
    </w:pPr>
  </w:style>
  <w:style w:type="paragraph" w:styleId="671" w:customStyle="1">
    <w:name w:val="Antraštė"/>
    <w:basedOn w:val="667"/>
    <w:qFormat/>
    <w:pPr>
      <w:pBdr/>
      <w:spacing w:after="120" w:before="120"/>
      <w:ind/>
    </w:pPr>
    <w:rPr>
      <w:i/>
      <w:iCs/>
    </w:rPr>
  </w:style>
  <w:style w:type="paragraph" w:styleId="672" w:customStyle="1">
    <w:name w:val="Index"/>
    <w:basedOn w:val="667"/>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MicrosoftOffice/15.0 MicrosoftWord</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Ručinskas</dc:creator>
  <cp:revision>1</cp:revision>
  <dcterms:created xsi:type="dcterms:W3CDTF">2009-04-16T11:32:00Z</dcterms:created>
  <dcterms:modified xsi:type="dcterms:W3CDTF">2026-04-30T11:33:00Z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